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2AD" w:rsidRDefault="00F8148C" w:rsidP="005E72AD">
      <w:pPr>
        <w:jc w:val="center"/>
      </w:pPr>
      <w:bookmarkStart w:id="0" w:name="OLE_LINK8"/>
      <w:bookmarkStart w:id="1" w:name="OLE_LINK9"/>
      <w:bookmarkStart w:id="2" w:name="OLE_LINK10"/>
      <w:bookmarkStart w:id="3" w:name="OLE_LINK11"/>
      <w:r>
        <w:rPr>
          <w:noProof/>
          <w:lang w:val="en-GB" w:eastAsia="en-GB"/>
        </w:rPr>
        <w:drawing>
          <wp:anchor distT="0" distB="0" distL="114300" distR="114300" simplePos="0" relativeHeight="251659264" behindDoc="0" locked="0" layoutInCell="1" allowOverlap="1">
            <wp:simplePos x="0" y="0"/>
            <wp:positionH relativeFrom="column">
              <wp:posOffset>1424305</wp:posOffset>
            </wp:positionH>
            <wp:positionV relativeFrom="paragraph">
              <wp:posOffset>-276860</wp:posOffset>
            </wp:positionV>
            <wp:extent cx="1196975" cy="1062990"/>
            <wp:effectExtent l="19050" t="0" r="3175" b="0"/>
            <wp:wrapSquare wrapText="bothSides"/>
            <wp:docPr id="4" name="Picture 107" descr="Description: Logo_vogel_ Pa_korn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Logo_vogel_ Pa_kornize"/>
                    <pic:cNvPicPr>
                      <a:picLocks noChangeAspect="1" noChangeArrowheads="1"/>
                    </pic:cNvPicPr>
                  </pic:nvPicPr>
                  <pic:blipFill>
                    <a:blip r:embed="rId8"/>
                    <a:srcRect/>
                    <a:stretch>
                      <a:fillRect/>
                    </a:stretch>
                  </pic:blipFill>
                  <pic:spPr bwMode="auto">
                    <a:xfrm>
                      <a:off x="0" y="0"/>
                      <a:ext cx="1196975" cy="1062990"/>
                    </a:xfrm>
                    <a:prstGeom prst="rect">
                      <a:avLst/>
                    </a:prstGeom>
                    <a:noFill/>
                    <a:ln w="9525">
                      <a:noFill/>
                      <a:miter lim="800000"/>
                      <a:headEnd/>
                      <a:tailEnd/>
                    </a:ln>
                  </pic:spPr>
                </pic:pic>
              </a:graphicData>
            </a:graphic>
          </wp:anchor>
        </w:drawing>
      </w:r>
      <w:r w:rsidR="004F065D" w:rsidRPr="004F065D">
        <w:rPr>
          <w:noProof/>
        </w:rPr>
        <w:pict>
          <v:rect id="Rectangle 4" o:spid="_x0000_s1026" alt="Wide upward diagonal" style="position:absolute;left:0;text-align:left;margin-left:-213.05pt;margin-top:-46.95pt;width:174.3pt;height:741.6pt;z-index:251658240;visibility:visible;mso-position-horizontal-relative:text;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yzgIAAJ4FAAAOAAAAZHJzL2Uyb0RvYy54bWysVF1v0zAUfUfiP1h+7/Kx9CPR0mmsFCEN&#10;mBgTz07sJBaObWy36UD8d66dNnTwghB9SP1xfXzu8bn36vrQC7RnxnIlS5xcxBgxWSvKZVvix0/b&#10;2Qoj64ikRCjJSvzELL5ev3xxNeiCpapTgjKDAETaYtAl7pzTRRTZumM9sRdKMwmbjTI9cTA1bUQN&#10;GQC9F1Eax4toUIZqo2pmLaxuxk28DvhNw2r3oWksc0iUGLi58DXhW/lvtL4iRWuI7nh9pEH+gUVP&#10;uIRLJ6gNcQTtDP8Dque1UVY17qJWfaSahtcs5ADZJPFv2Tx0RLOQC4hj9SST/X+w9fv9vUGcljgD&#10;eSTp4Y0+gmpEtoKhDCPKbA16feaUoZ0eiKGIctIqSYQXb9C2AIwHfW98+lbfqfqLRVLddgDBboxR&#10;Q8cIBcqJj4+eHfATC0dRNbxTFK4mO6eCjofG9B4QFEKH8FxP03Oxg0M1LKZpcrlIgHYNe3mWrC7T&#10;8KARKU7HtbHuDVM98oMSG8gswJP9nXWeDilOIf42TZzbciGO4QN91BtINhxp2lsx5mjaCoZoT8BT&#10;y/gyvjndOoVUU6z3MZuiqzYJWGLXQ74jQhL732hEWAe7jusn0FAKHiKwPSJ73keunreQ/iuV5z5m&#10;Na6AUpCn3/OaBT9+z5M0i1+l+Wy7WC1n2Tabz/JlvJrFSf4qX8RZnm22PzzLJCs6TimTd1yyU20k&#10;2d9571ilo6tDdaABHmmezoMAVglOPVvPzZ4LGtSYcj8P67mDViF4X+LVmWbeXa8lhbRJ4QgX4zh6&#10;Tj9oBxqc/oMqwYvefqONK0WfwIpGgVHAVNDUYNAp8w2jARpEie3XHTEMI/FWgp3zJPMl48Ikmy/B&#10;e8ic71TnO0TWAFVih9E4vHVjF9ppw9sObhqdIdUNlEDDgzl9eYysgLefQBMIGRwblu8y5/MQ9aut&#10;rn8CAAD//wMAUEsDBBQABgAIAAAAIQBlreLS4wAAAA0BAAAPAAAAZHJzL2Rvd25yZXYueG1sTI/B&#10;TsMwDIbvk3iHyEjcunQrXdfSdJqo4LATbEhwzBrTFJqkarKte3vMCW62/On395ebyfTsjKPvnBWw&#10;mMfA0DZOdbYV8HZ4itbAfJBWyd5ZFHBFD5vqZlbKQrmLfcXzPrSMQqwvpAAdwlBw7huNRvq5G9DS&#10;7dONRgZax5arUV4o3PR8GccrbmRn6YOWAz5qbL73JyOg3j1/vVyzWslsm+nkgx/S97QW4u522j4A&#10;CziFPxh+9UkdKnI6upNVnvUCovvlakEsTXmSAyMkyrIU2JHYZJ0nwKuS/29R/QAAAP//AwBQSwEC&#10;LQAUAAYACAAAACEAtoM4kv4AAADhAQAAEwAAAAAAAAAAAAAAAAAAAAAAW0NvbnRlbnRfVHlwZXNd&#10;LnhtbFBLAQItABQABgAIAAAAIQA4/SH/1gAAAJQBAAALAAAAAAAAAAAAAAAAAC8BAABfcmVscy8u&#10;cmVsc1BLAQItABQABgAIAAAAIQA2w7/yzgIAAJ4FAAAOAAAAAAAAAAAAAAAAAC4CAABkcnMvZTJv&#10;RG9jLnhtbFBLAQItABQABgAIAAAAIQBlreLS4wAAAA0BAAAPAAAAAAAAAAAAAAAAACgFAABkcnMv&#10;ZG93bnJldi54bWxQSwUGAAAAAAQABADzAAAAOAYAAAAA&#10;" fillcolor="#7030a0" stroked="f">
            <v:fill r:id="rId9" o:title="" color2="white [3212]" type="pattern"/>
            <w10:wrap anchory="margin"/>
          </v:rect>
        </w:pict>
      </w:r>
    </w:p>
    <w:p w:rsidR="005E72AD" w:rsidRDefault="0004642F" w:rsidP="0004642F">
      <w:pPr>
        <w:tabs>
          <w:tab w:val="left" w:pos="542"/>
        </w:tabs>
      </w:pPr>
      <w:r>
        <w:tab/>
      </w:r>
    </w:p>
    <w:p w:rsidR="005E72AD" w:rsidRDefault="00F8148C" w:rsidP="00F8148C">
      <w:pPr>
        <w:tabs>
          <w:tab w:val="left" w:pos="4504"/>
        </w:tabs>
      </w:pPr>
      <w:r>
        <w:tab/>
      </w:r>
    </w:p>
    <w:p w:rsidR="005E72AD" w:rsidRDefault="005E72AD" w:rsidP="005E72AD">
      <w:pPr>
        <w:jc w:val="center"/>
      </w:pPr>
    </w:p>
    <w:p w:rsidR="00F337A3" w:rsidRPr="00F8148C" w:rsidRDefault="00F8148C" w:rsidP="005F4685">
      <w:pPr>
        <w:pStyle w:val="Title"/>
        <w:rPr>
          <w:sz w:val="96"/>
        </w:rPr>
      </w:pPr>
      <w:r w:rsidRPr="00F8148C">
        <w:rPr>
          <w:sz w:val="96"/>
        </w:rPr>
        <w:t>Raporti Akademik</w:t>
      </w:r>
    </w:p>
    <w:p w:rsidR="005E72AD" w:rsidRPr="00202062" w:rsidRDefault="00F8148C" w:rsidP="007B6F4C">
      <w:pPr>
        <w:spacing w:after="0"/>
        <w:jc w:val="center"/>
        <w:rPr>
          <w:rFonts w:ascii="Monotype Corsiva" w:hAnsi="Monotype Corsiva"/>
          <w:color w:val="002060"/>
          <w:sz w:val="52"/>
          <w:szCs w:val="52"/>
        </w:rPr>
      </w:pPr>
      <w:r>
        <w:rPr>
          <w:rFonts w:ascii="Monotype Corsiva" w:hAnsi="Monotype Corsiva"/>
          <w:color w:val="002060"/>
          <w:sz w:val="52"/>
          <w:szCs w:val="52"/>
        </w:rPr>
        <w:t>SHKOLLA E MAGJISTRATURES</w:t>
      </w:r>
    </w:p>
    <w:p w:rsidR="00F8148C" w:rsidRDefault="00F8148C" w:rsidP="00F8148C">
      <w:pPr>
        <w:spacing w:after="0"/>
      </w:pPr>
    </w:p>
    <w:p w:rsidR="00F8148C" w:rsidRDefault="00E31EB3" w:rsidP="00F8148C">
      <w:pPr>
        <w:spacing w:after="0"/>
        <w:rPr>
          <w:b/>
          <w:color w:val="C00000"/>
          <w:sz w:val="32"/>
          <w:szCs w:val="32"/>
        </w:rPr>
      </w:pPr>
      <w:r>
        <w:rPr>
          <w:rFonts w:ascii="Monotype Corsiva" w:hAnsi="Monotype Corsiva"/>
          <w:color w:val="002060"/>
          <w:sz w:val="52"/>
          <w:szCs w:val="52"/>
        </w:rPr>
        <w:t xml:space="preserve">         </w:t>
      </w:r>
      <w:r w:rsidR="00F8148C" w:rsidRPr="00F8148C">
        <w:rPr>
          <w:rFonts w:ascii="Monotype Corsiva" w:hAnsi="Monotype Corsiva"/>
          <w:color w:val="002060"/>
          <w:sz w:val="52"/>
          <w:szCs w:val="52"/>
        </w:rPr>
        <w:t>Për vitin 2015-2016</w:t>
      </w:r>
    </w:p>
    <w:p w:rsidR="00F8148C" w:rsidRDefault="00F8148C" w:rsidP="00F8148C">
      <w:pPr>
        <w:jc w:val="center"/>
        <w:rPr>
          <w:b/>
          <w:color w:val="C00000"/>
          <w:sz w:val="32"/>
          <w:szCs w:val="32"/>
        </w:rPr>
      </w:pPr>
    </w:p>
    <w:p w:rsidR="00F8148C" w:rsidRDefault="00F8148C" w:rsidP="00F8148C">
      <w:pPr>
        <w:jc w:val="center"/>
        <w:rPr>
          <w:b/>
          <w:color w:val="C00000"/>
          <w:sz w:val="32"/>
          <w:szCs w:val="32"/>
        </w:rPr>
      </w:pPr>
    </w:p>
    <w:p w:rsidR="00F8148C" w:rsidRDefault="00F8148C" w:rsidP="00F8148C">
      <w:pPr>
        <w:jc w:val="center"/>
        <w:rPr>
          <w:b/>
          <w:color w:val="C00000"/>
          <w:sz w:val="28"/>
          <w:szCs w:val="32"/>
        </w:rPr>
      </w:pPr>
    </w:p>
    <w:p w:rsidR="00F8148C" w:rsidRDefault="00F8148C" w:rsidP="00F8148C">
      <w:pPr>
        <w:jc w:val="center"/>
        <w:rPr>
          <w:b/>
          <w:color w:val="C00000"/>
          <w:sz w:val="28"/>
          <w:szCs w:val="32"/>
        </w:rPr>
      </w:pPr>
    </w:p>
    <w:p w:rsidR="00F8148C" w:rsidRPr="00F8148C" w:rsidRDefault="00F8148C" w:rsidP="00F8148C">
      <w:pPr>
        <w:jc w:val="center"/>
        <w:rPr>
          <w:b/>
          <w:sz w:val="28"/>
          <w:szCs w:val="32"/>
        </w:rPr>
      </w:pPr>
      <w:r w:rsidRPr="00F8148C">
        <w:rPr>
          <w:b/>
          <w:sz w:val="28"/>
          <w:szCs w:val="32"/>
        </w:rPr>
        <w:t>Miratoi:</w:t>
      </w:r>
    </w:p>
    <w:p w:rsidR="00F8148C" w:rsidRPr="00F8148C" w:rsidRDefault="00F8148C" w:rsidP="00F8148C">
      <w:pPr>
        <w:jc w:val="center"/>
        <w:rPr>
          <w:b/>
          <w:sz w:val="28"/>
          <w:szCs w:val="32"/>
        </w:rPr>
      </w:pPr>
      <w:r w:rsidRPr="00F8148C">
        <w:rPr>
          <w:b/>
          <w:sz w:val="28"/>
          <w:szCs w:val="32"/>
        </w:rPr>
        <w:t>Prof.Dr Xhezair Zaganjori</w:t>
      </w:r>
    </w:p>
    <w:p w:rsidR="0018682B" w:rsidRPr="00F8148C" w:rsidRDefault="00F8148C" w:rsidP="00F8148C">
      <w:pPr>
        <w:jc w:val="center"/>
        <w:rPr>
          <w:b/>
          <w:sz w:val="28"/>
          <w:szCs w:val="32"/>
        </w:rPr>
      </w:pPr>
      <w:r w:rsidRPr="00F8148C">
        <w:rPr>
          <w:b/>
          <w:sz w:val="28"/>
          <w:szCs w:val="32"/>
        </w:rPr>
        <w:t>Kryetar i Këshillit Drejtues</w:t>
      </w:r>
    </w:p>
    <w:p w:rsidR="005E72AD" w:rsidRDefault="005E72AD" w:rsidP="005E72AD">
      <w:pPr>
        <w:jc w:val="center"/>
      </w:pPr>
    </w:p>
    <w:p w:rsidR="00F8148C" w:rsidRDefault="00F8148C" w:rsidP="005E72AD">
      <w:pPr>
        <w:spacing w:after="0" w:line="240" w:lineRule="auto"/>
        <w:jc w:val="right"/>
        <w:rPr>
          <w:sz w:val="28"/>
          <w:szCs w:val="28"/>
        </w:rPr>
      </w:pPr>
    </w:p>
    <w:p w:rsidR="00F8148C" w:rsidRDefault="00F8148C" w:rsidP="005E72AD">
      <w:pPr>
        <w:spacing w:after="0" w:line="240" w:lineRule="auto"/>
        <w:jc w:val="right"/>
        <w:rPr>
          <w:sz w:val="28"/>
          <w:szCs w:val="28"/>
        </w:rPr>
      </w:pPr>
    </w:p>
    <w:p w:rsidR="00701E81" w:rsidRPr="00701E81" w:rsidRDefault="00701E81" w:rsidP="00701E81">
      <w:pPr>
        <w:spacing w:after="0" w:line="240" w:lineRule="auto"/>
        <w:jc w:val="right"/>
        <w:rPr>
          <w:sz w:val="28"/>
          <w:szCs w:val="28"/>
        </w:rPr>
        <w:sectPr w:rsidR="00701E81" w:rsidRPr="00701E81" w:rsidSect="00701E81">
          <w:headerReference w:type="default" r:id="rId10"/>
          <w:footerReference w:type="default" r:id="rId11"/>
          <w:footerReference w:type="first" r:id="rId12"/>
          <w:pgSz w:w="12240" w:h="15840" w:code="1"/>
          <w:pgMar w:top="1440" w:right="1440" w:bottom="1440" w:left="4752" w:header="720" w:footer="720" w:gutter="0"/>
          <w:pgBorders w:offsetFrom="page">
            <w:top w:val="single" w:sz="4" w:space="20" w:color="7030A0"/>
            <w:left w:val="single" w:sz="4" w:space="20" w:color="7030A0"/>
            <w:bottom w:val="single" w:sz="4" w:space="20" w:color="7030A0"/>
            <w:right w:val="single" w:sz="4" w:space="20" w:color="7030A0"/>
          </w:pgBorders>
          <w:cols w:space="720"/>
          <w:titlePg/>
          <w:docGrid w:linePitch="360"/>
        </w:sectPr>
      </w:pPr>
      <w:r>
        <w:rPr>
          <w:sz w:val="28"/>
          <w:szCs w:val="28"/>
        </w:rPr>
        <w:t>Dhjetor 201</w:t>
      </w:r>
      <w:bookmarkEnd w:id="0"/>
      <w:bookmarkEnd w:id="1"/>
      <w:bookmarkEnd w:id="2"/>
      <w:bookmarkEnd w:id="3"/>
      <w:r>
        <w:rPr>
          <w:sz w:val="28"/>
          <w:szCs w:val="28"/>
        </w:rPr>
        <w:t>6</w:t>
      </w:r>
    </w:p>
    <w:p w:rsidR="00701E81" w:rsidRPr="00701E81" w:rsidRDefault="00701E81" w:rsidP="00701E81">
      <w:pPr>
        <w:rPr>
          <w:rFonts w:ascii="Bookman Old Style" w:hAnsi="Bookman Old Style" w:cs="Aharoni"/>
          <w:b/>
          <w:i/>
          <w:color w:val="7D4D98" w:themeColor="accent6" w:themeShade="BF"/>
          <w:lang w:val="sq-AL"/>
        </w:rPr>
      </w:pPr>
      <w:r w:rsidRPr="00701E81">
        <w:rPr>
          <w:rFonts w:ascii="Bookman Old Style" w:hAnsi="Bookman Old Style" w:cs="Aharoni"/>
          <w:b/>
          <w:i/>
          <w:color w:val="7D4D98" w:themeColor="accent6" w:themeShade="BF"/>
          <w:sz w:val="24"/>
          <w:lang w:val="sq-AL"/>
        </w:rPr>
        <w:lastRenderedPageBreak/>
        <w:t>TABELA E PËRMBAJTJES</w:t>
      </w:r>
    </w:p>
    <w:p w:rsidR="00701E81" w:rsidRPr="000871C1" w:rsidRDefault="00701E81" w:rsidP="00701E81">
      <w:pPr>
        <w:numPr>
          <w:ilvl w:val="0"/>
          <w:numId w:val="1"/>
        </w:numPr>
        <w:tabs>
          <w:tab w:val="num" w:pos="-600"/>
        </w:tabs>
        <w:rPr>
          <w:rFonts w:ascii="Bookman Old Style" w:hAnsi="Bookman Old Style" w:cs="Arial"/>
          <w:b/>
          <w:lang w:val="sq-AL"/>
        </w:rPr>
      </w:pPr>
      <w:r>
        <w:rPr>
          <w:rFonts w:ascii="Bookman Old Style" w:hAnsi="Bookman Old Style" w:cs="Arial"/>
          <w:b/>
          <w:lang w:val="sq-AL"/>
        </w:rPr>
        <w:t>TRAJNIMI  FILLESTAR...............</w:t>
      </w:r>
      <w:r w:rsidRPr="000871C1">
        <w:rPr>
          <w:rFonts w:ascii="Bookman Old Style" w:hAnsi="Bookman Old Style" w:cs="Arial"/>
          <w:b/>
          <w:lang w:val="sq-AL"/>
        </w:rPr>
        <w:t>................</w:t>
      </w:r>
      <w:r>
        <w:rPr>
          <w:rFonts w:ascii="Bookman Old Style" w:hAnsi="Bookman Old Style" w:cs="Arial"/>
          <w:b/>
          <w:lang w:val="sq-AL"/>
        </w:rPr>
        <w:t>...............................</w:t>
      </w:r>
      <w:r w:rsidRPr="000871C1">
        <w:rPr>
          <w:rFonts w:ascii="Bookman Old Style" w:hAnsi="Bookman Old Style" w:cs="Arial"/>
          <w:b/>
          <w:lang w:val="sq-AL"/>
        </w:rPr>
        <w:t>.............</w:t>
      </w:r>
      <w:r w:rsidR="00DD7FAA">
        <w:rPr>
          <w:rFonts w:ascii="Bookman Old Style" w:hAnsi="Bookman Old Style" w:cs="Arial"/>
          <w:b/>
          <w:lang w:val="sq-AL"/>
        </w:rPr>
        <w:t>..............</w:t>
      </w:r>
      <w:r w:rsidRPr="000871C1">
        <w:rPr>
          <w:rFonts w:ascii="Bookman Old Style" w:hAnsi="Bookman Old Style" w:cs="Arial"/>
          <w:b/>
          <w:lang w:val="sq-AL"/>
        </w:rPr>
        <w:t>.</w:t>
      </w:r>
      <w:r w:rsidR="00DD7FAA">
        <w:rPr>
          <w:rFonts w:ascii="Bookman Old Style" w:hAnsi="Bookman Old Style" w:cs="Arial"/>
          <w:b/>
          <w:lang w:val="sq-AL"/>
        </w:rPr>
        <w:t>5</w:t>
      </w:r>
    </w:p>
    <w:p w:rsidR="00701E81" w:rsidRPr="000871C1" w:rsidRDefault="00E31EB3" w:rsidP="00701E81">
      <w:pPr>
        <w:rPr>
          <w:rFonts w:ascii="Bookman Old Style" w:hAnsi="Bookman Old Style" w:cs="Arial"/>
          <w:bCs/>
          <w:lang w:val="sq-AL"/>
        </w:rPr>
      </w:pPr>
      <w:r>
        <w:rPr>
          <w:rFonts w:ascii="Bookman Old Style" w:hAnsi="Bookman Old Style" w:cs="Arial"/>
          <w:bCs/>
          <w:lang w:val="sq-AL"/>
        </w:rPr>
        <w:t xml:space="preserve">        </w:t>
      </w:r>
      <w:r w:rsidR="00701E81" w:rsidRPr="00DD7FAA">
        <w:rPr>
          <w:rFonts w:ascii="Bookman Old Style" w:hAnsi="Bookman Old Style" w:cs="Arial"/>
          <w:bCs/>
          <w:lang w:val="sq-AL"/>
        </w:rPr>
        <w:t>1.1.</w:t>
      </w:r>
      <w:r w:rsidR="00701E81" w:rsidRPr="000871C1">
        <w:rPr>
          <w:rFonts w:ascii="Bookman Old Style" w:hAnsi="Bookman Old Style" w:cs="Arial"/>
          <w:bCs/>
          <w:lang w:val="sq-AL"/>
        </w:rPr>
        <w:t xml:space="preserve"> Realizimi i Programit Mësimor</w:t>
      </w:r>
      <w:r w:rsidR="00DD7FAA">
        <w:rPr>
          <w:rFonts w:ascii="Bookman Old Style" w:hAnsi="Bookman Old Style" w:cs="Arial"/>
          <w:bCs/>
          <w:lang w:val="sq-AL"/>
        </w:rPr>
        <w:t xml:space="preserve"> të Trajnimit Fillestar për vitin 2015-2016</w:t>
      </w:r>
      <w:r w:rsidR="00701E81" w:rsidRPr="000871C1">
        <w:rPr>
          <w:rFonts w:ascii="Bookman Old Style" w:hAnsi="Bookman Old Style" w:cs="Arial"/>
          <w:bCs/>
          <w:lang w:val="sq-AL"/>
        </w:rPr>
        <w:t>.............</w:t>
      </w:r>
      <w:r w:rsidR="00DD7FAA">
        <w:rPr>
          <w:rFonts w:ascii="Bookman Old Style" w:hAnsi="Bookman Old Style" w:cs="Arial"/>
          <w:bCs/>
          <w:lang w:val="sq-AL"/>
        </w:rPr>
        <w:t>......5</w:t>
      </w:r>
    </w:p>
    <w:p w:rsidR="00701E81" w:rsidRPr="000871C1" w:rsidRDefault="00E31EB3" w:rsidP="00701E81">
      <w:pPr>
        <w:rPr>
          <w:rFonts w:ascii="Bookman Old Style" w:hAnsi="Bookman Old Style" w:cs="Arial"/>
          <w:bCs/>
          <w:lang w:val="sq-AL"/>
        </w:rPr>
      </w:pPr>
      <w:r>
        <w:rPr>
          <w:rFonts w:ascii="Bookman Old Style" w:hAnsi="Bookman Old Style" w:cs="Arial"/>
          <w:lang w:val="sq-AL"/>
        </w:rPr>
        <w:t xml:space="preserve">        </w:t>
      </w:r>
      <w:r w:rsidR="00701E81" w:rsidRPr="000871C1">
        <w:rPr>
          <w:rFonts w:ascii="Bookman Old Style" w:hAnsi="Bookman Old Style" w:cs="Arial"/>
          <w:lang w:val="sq-AL"/>
        </w:rPr>
        <w:t xml:space="preserve">1.2. </w:t>
      </w:r>
      <w:r w:rsidR="006A42BF" w:rsidRPr="006A42BF">
        <w:rPr>
          <w:rFonts w:ascii="Bookman Old Style" w:hAnsi="Bookman Old Style" w:cs="Arial"/>
          <w:lang w:val="sq-AL"/>
        </w:rPr>
        <w:t>Realizimi i programit të</w:t>
      </w:r>
      <w:r w:rsidR="006A42BF">
        <w:rPr>
          <w:rFonts w:ascii="Bookman Old Style" w:hAnsi="Bookman Old Style" w:cs="Arial"/>
          <w:lang w:val="sq-AL"/>
        </w:rPr>
        <w:t xml:space="preserve"> vitit të parë të Sh</w:t>
      </w:r>
      <w:r w:rsidR="008819BF">
        <w:rPr>
          <w:rFonts w:ascii="Bookman Old Style" w:hAnsi="Bookman Old Style" w:cs="Arial"/>
          <w:lang w:val="sq-AL"/>
        </w:rPr>
        <w:t>kollës ..................</w:t>
      </w:r>
      <w:r w:rsidR="006A42BF">
        <w:rPr>
          <w:rFonts w:ascii="Bookman Old Style" w:hAnsi="Bookman Old Style" w:cs="Arial"/>
          <w:lang w:val="sq-AL"/>
        </w:rPr>
        <w:t>......</w:t>
      </w:r>
      <w:r w:rsidR="00701E81" w:rsidRPr="000871C1">
        <w:rPr>
          <w:rFonts w:ascii="Bookman Old Style" w:hAnsi="Bookman Old Style" w:cs="Arial"/>
          <w:lang w:val="sq-AL"/>
        </w:rPr>
        <w:t>..</w:t>
      </w:r>
      <w:r w:rsidR="006A42BF">
        <w:rPr>
          <w:rFonts w:ascii="Bookman Old Style" w:hAnsi="Bookman Old Style" w:cs="Arial"/>
          <w:lang w:val="sq-AL"/>
        </w:rPr>
        <w:t>...........................</w:t>
      </w:r>
      <w:r w:rsidR="00701E81" w:rsidRPr="000871C1">
        <w:rPr>
          <w:rFonts w:ascii="Bookman Old Style" w:hAnsi="Bookman Old Style" w:cs="Arial"/>
          <w:lang w:val="sq-AL"/>
        </w:rPr>
        <w:t>.</w:t>
      </w:r>
      <w:r w:rsidR="006A42BF">
        <w:rPr>
          <w:rFonts w:ascii="Bookman Old Style" w:hAnsi="Bookman Old Style" w:cs="Arial"/>
          <w:lang w:val="sq-AL"/>
        </w:rPr>
        <w:t>..9</w:t>
      </w:r>
    </w:p>
    <w:p w:rsidR="00701E81" w:rsidRPr="000871C1" w:rsidRDefault="00E31EB3" w:rsidP="00701E81">
      <w:pPr>
        <w:rPr>
          <w:rFonts w:ascii="Bookman Old Style" w:hAnsi="Bookman Old Style" w:cs="Arial"/>
          <w:lang w:val="sq-AL"/>
        </w:rPr>
      </w:pPr>
      <w:r>
        <w:rPr>
          <w:rFonts w:ascii="Bookman Old Style" w:hAnsi="Bookman Old Style" w:cs="Arial"/>
          <w:lang w:val="sq-AL"/>
        </w:rPr>
        <w:t xml:space="preserve">        </w:t>
      </w:r>
      <w:r w:rsidR="00701E81" w:rsidRPr="000871C1">
        <w:rPr>
          <w:rFonts w:ascii="Bookman Old Style" w:hAnsi="Bookman Old Style" w:cs="Arial"/>
          <w:lang w:val="sq-AL"/>
        </w:rPr>
        <w:t xml:space="preserve">1.3. </w:t>
      </w:r>
      <w:r w:rsidR="006A42BF" w:rsidRPr="006A42BF">
        <w:rPr>
          <w:rFonts w:ascii="Bookman Old Style" w:hAnsi="Bookman Old Style" w:cs="Arial"/>
          <w:lang w:val="sq-AL"/>
        </w:rPr>
        <w:t xml:space="preserve">Realizimi i programit të vitit </w:t>
      </w:r>
      <w:r w:rsidR="006A42BF">
        <w:rPr>
          <w:rFonts w:ascii="Bookman Old Style" w:hAnsi="Bookman Old Style" w:cs="Arial"/>
          <w:lang w:val="sq-AL"/>
        </w:rPr>
        <w:t xml:space="preserve">të tretë të Shkollës – Praktika </w:t>
      </w:r>
      <w:r w:rsidR="006A42BF" w:rsidRPr="006A42BF">
        <w:rPr>
          <w:rFonts w:ascii="Bookman Old Style" w:hAnsi="Bookman Old Style" w:cs="Arial"/>
          <w:lang w:val="sq-AL"/>
        </w:rPr>
        <w:t>profesionale</w:t>
      </w:r>
      <w:r w:rsidR="006A42BF">
        <w:rPr>
          <w:rFonts w:ascii="Bookman Old Style" w:hAnsi="Bookman Old Style" w:cs="Arial"/>
          <w:lang w:val="sq-AL"/>
        </w:rPr>
        <w:t>...........</w:t>
      </w:r>
      <w:r w:rsidR="00701E81" w:rsidRPr="000871C1">
        <w:rPr>
          <w:rFonts w:ascii="Bookman Old Style" w:hAnsi="Bookman Old Style" w:cs="Arial"/>
          <w:lang w:val="sq-AL"/>
        </w:rPr>
        <w:t>.....</w:t>
      </w:r>
      <w:r w:rsidR="006A42BF">
        <w:rPr>
          <w:rFonts w:ascii="Bookman Old Style" w:hAnsi="Bookman Old Style" w:cs="Arial"/>
          <w:lang w:val="sq-AL"/>
        </w:rPr>
        <w:t>...</w:t>
      </w:r>
      <w:r w:rsidR="006A42BF" w:rsidRPr="006A42BF">
        <w:rPr>
          <w:rFonts w:ascii="Bookman Old Style" w:hAnsi="Bookman Old Style" w:cs="Arial"/>
          <w:lang w:val="sq-AL"/>
        </w:rPr>
        <w:t>11</w:t>
      </w:r>
    </w:p>
    <w:p w:rsidR="00E650A9" w:rsidRPr="00E650A9" w:rsidRDefault="00E31EB3" w:rsidP="00701E81">
      <w:pPr>
        <w:rPr>
          <w:rFonts w:ascii="Bookman Old Style" w:hAnsi="Bookman Old Style" w:cs="Arial"/>
          <w:b/>
          <w:lang w:val="sq-AL"/>
        </w:rPr>
      </w:pPr>
      <w:r>
        <w:rPr>
          <w:rFonts w:ascii="Bookman Old Style" w:hAnsi="Bookman Old Style" w:cs="Arial"/>
          <w:b/>
          <w:lang w:val="sq-AL"/>
        </w:rPr>
        <w:t xml:space="preserve">        </w:t>
      </w:r>
      <w:r w:rsidR="00701E81" w:rsidRPr="000871C1">
        <w:rPr>
          <w:rFonts w:ascii="Bookman Old Style" w:hAnsi="Bookman Old Style" w:cs="Arial"/>
          <w:b/>
          <w:lang w:val="sq-AL"/>
        </w:rPr>
        <w:t xml:space="preserve">ANEKS </w:t>
      </w:r>
      <w:r w:rsidR="00E650A9">
        <w:rPr>
          <w:rFonts w:ascii="Bookman Old Style" w:hAnsi="Bookman Old Style" w:cs="Arial"/>
          <w:b/>
          <w:lang w:val="sq-AL"/>
        </w:rPr>
        <w:t xml:space="preserve">I  </w:t>
      </w:r>
      <w:r w:rsidR="00701E81" w:rsidRPr="000871C1">
        <w:rPr>
          <w:rFonts w:ascii="Bookman Old Style" w:hAnsi="Bookman Old Style" w:cs="Arial"/>
          <w:b/>
          <w:lang w:val="sq-AL"/>
        </w:rPr>
        <w:t>.</w:t>
      </w:r>
      <w:r w:rsidR="00E650A9">
        <w:rPr>
          <w:rFonts w:ascii="Bookman Old Style" w:hAnsi="Bookman Old Style" w:cs="Arial"/>
          <w:b/>
          <w:lang w:val="sq-AL"/>
        </w:rPr>
        <w:t>......................................................................</w:t>
      </w:r>
      <w:r w:rsidR="00701E81" w:rsidRPr="000871C1">
        <w:rPr>
          <w:rFonts w:ascii="Bookman Old Style" w:hAnsi="Bookman Old Style" w:cs="Arial"/>
          <w:b/>
          <w:lang w:val="sq-AL"/>
        </w:rPr>
        <w:t>.....................</w:t>
      </w:r>
      <w:r w:rsidR="006A42BF">
        <w:rPr>
          <w:rFonts w:ascii="Bookman Old Style" w:hAnsi="Bookman Old Style" w:cs="Arial"/>
          <w:b/>
          <w:lang w:val="sq-AL"/>
        </w:rPr>
        <w:t>.............</w:t>
      </w:r>
      <w:r>
        <w:rPr>
          <w:rFonts w:ascii="Bookman Old Style" w:hAnsi="Bookman Old Style" w:cs="Arial"/>
          <w:b/>
          <w:lang w:val="sq-AL"/>
        </w:rPr>
        <w:t>.</w:t>
      </w:r>
      <w:r w:rsidR="006A42BF">
        <w:rPr>
          <w:rFonts w:ascii="Bookman Old Style" w:hAnsi="Bookman Old Style" w:cs="Arial"/>
          <w:b/>
          <w:lang w:val="sq-AL"/>
        </w:rPr>
        <w:t>..</w:t>
      </w:r>
      <w:r w:rsidR="008819BF">
        <w:rPr>
          <w:rFonts w:ascii="Bookman Old Style" w:hAnsi="Bookman Old Style" w:cs="Arial"/>
          <w:b/>
          <w:lang w:val="sq-AL"/>
        </w:rPr>
        <w:t>.</w:t>
      </w:r>
      <w:r w:rsidR="006A42BF">
        <w:rPr>
          <w:rFonts w:ascii="Bookman Old Style" w:hAnsi="Bookman Old Style" w:cs="Arial"/>
          <w:b/>
          <w:lang w:val="sq-AL"/>
        </w:rPr>
        <w:t>..15</w:t>
      </w:r>
    </w:p>
    <w:p w:rsidR="00701E81" w:rsidRPr="00824B14" w:rsidRDefault="00701E81" w:rsidP="00701E81">
      <w:pPr>
        <w:numPr>
          <w:ilvl w:val="0"/>
          <w:numId w:val="1"/>
        </w:numPr>
        <w:tabs>
          <w:tab w:val="num" w:pos="300"/>
        </w:tabs>
        <w:rPr>
          <w:rFonts w:ascii="Bookman Old Style" w:hAnsi="Bookman Old Style" w:cs="Arial"/>
          <w:b/>
          <w:lang w:val="sq-AL"/>
        </w:rPr>
      </w:pPr>
      <w:r w:rsidRPr="00824B14">
        <w:rPr>
          <w:rFonts w:ascii="Bookman Old Style" w:hAnsi="Bookman Old Style" w:cs="Arial"/>
          <w:b/>
          <w:lang w:val="sq-AL"/>
        </w:rPr>
        <w:t>TRAJNIMI VAZHDUES......................................................................................</w:t>
      </w:r>
      <w:r w:rsidR="00E650A9" w:rsidRPr="00824B14">
        <w:rPr>
          <w:rFonts w:ascii="Bookman Old Style" w:hAnsi="Bookman Old Style" w:cs="Arial"/>
          <w:b/>
          <w:lang w:val="sq-AL"/>
        </w:rPr>
        <w:t>.</w:t>
      </w:r>
      <w:r w:rsidR="008819BF">
        <w:rPr>
          <w:rFonts w:ascii="Bookman Old Style" w:hAnsi="Bookman Old Style" w:cs="Arial"/>
          <w:b/>
          <w:lang w:val="sq-AL"/>
        </w:rPr>
        <w:t>.</w:t>
      </w:r>
      <w:r w:rsidR="00C9722E">
        <w:rPr>
          <w:rFonts w:ascii="Bookman Old Style" w:hAnsi="Bookman Old Style" w:cs="Arial"/>
          <w:b/>
          <w:lang w:val="sq-AL"/>
        </w:rPr>
        <w:t>.</w:t>
      </w:r>
      <w:r w:rsidR="00E650A9" w:rsidRPr="00824B14">
        <w:rPr>
          <w:rFonts w:ascii="Bookman Old Style" w:hAnsi="Bookman Old Style" w:cs="Arial"/>
          <w:b/>
          <w:lang w:val="sq-AL"/>
        </w:rPr>
        <w:t>.</w:t>
      </w:r>
      <w:r w:rsidR="008819BF">
        <w:rPr>
          <w:rFonts w:ascii="Bookman Old Style" w:hAnsi="Bookman Old Style" w:cs="Arial"/>
          <w:b/>
          <w:lang w:val="sq-AL"/>
        </w:rPr>
        <w:t>.</w:t>
      </w:r>
      <w:r w:rsidR="00E650A9" w:rsidRPr="00824B14">
        <w:rPr>
          <w:rFonts w:ascii="Bookman Old Style" w:hAnsi="Bookman Old Style" w:cs="Arial"/>
          <w:b/>
          <w:lang w:val="sq-AL"/>
        </w:rPr>
        <w:t>17</w:t>
      </w:r>
    </w:p>
    <w:p w:rsidR="00701E81" w:rsidRPr="00824B14" w:rsidRDefault="00E31EB3" w:rsidP="00701E81">
      <w:pPr>
        <w:rPr>
          <w:rFonts w:ascii="Bookman Old Style" w:hAnsi="Bookman Old Style" w:cs="Arial"/>
          <w:lang w:val="sq-AL"/>
        </w:rPr>
      </w:pPr>
      <w:r>
        <w:rPr>
          <w:rFonts w:ascii="Bookman Old Style" w:hAnsi="Bookman Old Style" w:cs="Arial"/>
          <w:lang w:val="sq-AL"/>
        </w:rPr>
        <w:t xml:space="preserve">         </w:t>
      </w:r>
      <w:r w:rsidR="00701E81" w:rsidRPr="00824B14">
        <w:rPr>
          <w:rFonts w:ascii="Bookman Old Style" w:hAnsi="Bookman Old Style" w:cs="Arial"/>
          <w:lang w:val="sq-AL"/>
        </w:rPr>
        <w:t xml:space="preserve">2.1. </w:t>
      </w:r>
      <w:r w:rsidR="00C9722E" w:rsidRPr="00C9722E">
        <w:rPr>
          <w:rFonts w:ascii="Bookman Old Style" w:hAnsi="Bookman Old Style" w:cs="Arial"/>
          <w:lang w:val="sq-AL"/>
        </w:rPr>
        <w:t>Realizimi i Programit të Formimit Vazhdues për vitin akademik -2015-2016</w:t>
      </w:r>
      <w:r w:rsidR="008819BF">
        <w:rPr>
          <w:rFonts w:ascii="Bookman Old Style" w:hAnsi="Bookman Old Style" w:cs="Arial"/>
          <w:lang w:val="sq-AL"/>
        </w:rPr>
        <w:t>.......</w:t>
      </w:r>
      <w:r w:rsidR="00701E81" w:rsidRPr="00824B14">
        <w:rPr>
          <w:rFonts w:ascii="Bookman Old Style" w:hAnsi="Bookman Old Style" w:cs="Arial"/>
          <w:lang w:val="sq-AL"/>
        </w:rPr>
        <w:t>.</w:t>
      </w:r>
      <w:r w:rsidR="00C9722E">
        <w:rPr>
          <w:rFonts w:ascii="Bookman Old Style" w:hAnsi="Bookman Old Style" w:cs="Arial"/>
          <w:lang w:val="sq-AL"/>
        </w:rPr>
        <w:t>.</w:t>
      </w:r>
      <w:r w:rsidR="00701E81" w:rsidRPr="00824B14">
        <w:rPr>
          <w:rFonts w:ascii="Bookman Old Style" w:hAnsi="Bookman Old Style" w:cs="Arial"/>
          <w:lang w:val="sq-AL"/>
        </w:rPr>
        <w:t>.</w:t>
      </w:r>
      <w:r w:rsidR="008819BF">
        <w:rPr>
          <w:rFonts w:ascii="Bookman Old Style" w:hAnsi="Bookman Old Style" w:cs="Arial"/>
          <w:lang w:val="sq-AL"/>
        </w:rPr>
        <w:t>.</w:t>
      </w:r>
      <w:r>
        <w:rPr>
          <w:rFonts w:ascii="Bookman Old Style" w:hAnsi="Bookman Old Style" w:cs="Arial"/>
          <w:lang w:val="sq-AL"/>
        </w:rPr>
        <w:t>.</w:t>
      </w:r>
      <w:r w:rsidR="00C9722E">
        <w:rPr>
          <w:rFonts w:ascii="Bookman Old Style" w:hAnsi="Bookman Old Style" w:cs="Arial"/>
          <w:lang w:val="sq-AL"/>
        </w:rPr>
        <w:t>17</w:t>
      </w:r>
    </w:p>
    <w:p w:rsidR="00701E81" w:rsidRPr="00824B14" w:rsidRDefault="00701E81" w:rsidP="00701E81">
      <w:pPr>
        <w:rPr>
          <w:rFonts w:ascii="Bookman Old Style" w:hAnsi="Bookman Old Style" w:cs="Arial"/>
          <w:lang w:val="sq-AL"/>
        </w:rPr>
      </w:pPr>
      <w:r w:rsidRPr="00824B14">
        <w:rPr>
          <w:rFonts w:ascii="Bookman Old Style" w:hAnsi="Bookman Old Style" w:cs="Arial"/>
          <w:lang w:val="sq-AL"/>
        </w:rPr>
        <w:t xml:space="preserve">         2.2. </w:t>
      </w:r>
      <w:r w:rsidR="00C9722E" w:rsidRPr="00C9722E">
        <w:rPr>
          <w:rFonts w:ascii="Bookman Old Style" w:hAnsi="Bookman Old Style" w:cs="Arial"/>
          <w:lang w:val="sq-AL"/>
        </w:rPr>
        <w:t>Përmbajtja dhe tematika e Programit -Formimit për vitin akademik 2015-2016</w:t>
      </w:r>
      <w:r w:rsidR="008819BF">
        <w:rPr>
          <w:rFonts w:ascii="Bookman Old Style" w:hAnsi="Bookman Old Style" w:cs="Arial"/>
          <w:lang w:val="sq-AL"/>
        </w:rPr>
        <w:t>....</w:t>
      </w:r>
      <w:r w:rsidR="003C2FB9">
        <w:rPr>
          <w:rFonts w:ascii="Bookman Old Style" w:hAnsi="Bookman Old Style" w:cs="Arial"/>
          <w:lang w:val="sq-AL"/>
        </w:rPr>
        <w:t>...28</w:t>
      </w:r>
    </w:p>
    <w:p w:rsidR="00701E81" w:rsidRPr="00824B14" w:rsidRDefault="00701E81" w:rsidP="00C9722E">
      <w:pPr>
        <w:numPr>
          <w:ilvl w:val="1"/>
          <w:numId w:val="1"/>
        </w:numPr>
        <w:rPr>
          <w:rFonts w:ascii="Bookman Old Style" w:hAnsi="Bookman Old Style" w:cs="Arial"/>
          <w:lang w:val="sq-AL"/>
        </w:rPr>
      </w:pPr>
      <w:r w:rsidRPr="00824B14">
        <w:rPr>
          <w:rFonts w:ascii="Bookman Old Style" w:hAnsi="Bookman Old Style" w:cs="Arial"/>
          <w:lang w:val="sq-AL"/>
        </w:rPr>
        <w:t xml:space="preserve">    2.3. </w:t>
      </w:r>
      <w:r w:rsidR="00C9722E" w:rsidRPr="00C9722E">
        <w:rPr>
          <w:rFonts w:ascii="Bookman Old Style" w:hAnsi="Bookman Old Style" w:cs="Arial"/>
          <w:lang w:val="sq-AL"/>
        </w:rPr>
        <w:t>Organizimi i sesioneve trajnuese dhe rezultatet</w:t>
      </w:r>
      <w:r w:rsidR="008819BF">
        <w:rPr>
          <w:rFonts w:ascii="Bookman Old Style" w:hAnsi="Bookman Old Style" w:cs="Arial"/>
          <w:lang w:val="sq-AL"/>
        </w:rPr>
        <w:t>..........</w:t>
      </w:r>
      <w:r w:rsidRPr="00824B14">
        <w:rPr>
          <w:rFonts w:ascii="Bookman Old Style" w:hAnsi="Bookman Old Style" w:cs="Arial"/>
          <w:lang w:val="sq-AL"/>
        </w:rPr>
        <w:t>..........................</w:t>
      </w:r>
      <w:r w:rsidR="00C9722E">
        <w:rPr>
          <w:rFonts w:ascii="Bookman Old Style" w:hAnsi="Bookman Old Style" w:cs="Arial"/>
          <w:lang w:val="sq-AL"/>
        </w:rPr>
        <w:t>.............</w:t>
      </w:r>
      <w:r w:rsidRPr="00824B14">
        <w:rPr>
          <w:rFonts w:ascii="Bookman Old Style" w:hAnsi="Bookman Old Style" w:cs="Arial"/>
          <w:lang w:val="sq-AL"/>
        </w:rPr>
        <w:t>.</w:t>
      </w:r>
      <w:r w:rsidR="00C9722E">
        <w:rPr>
          <w:rFonts w:ascii="Bookman Old Style" w:hAnsi="Bookman Old Style" w:cs="Arial"/>
          <w:lang w:val="sq-AL"/>
        </w:rPr>
        <w:t>.....31</w:t>
      </w:r>
    </w:p>
    <w:p w:rsidR="00701E81" w:rsidRPr="00824B14" w:rsidRDefault="00701E81" w:rsidP="00701E81">
      <w:pPr>
        <w:rPr>
          <w:rFonts w:ascii="Bookman Old Style" w:hAnsi="Bookman Old Style" w:cs="Arial"/>
          <w:lang w:val="sq-AL"/>
        </w:rPr>
      </w:pPr>
      <w:r w:rsidRPr="00824B14">
        <w:rPr>
          <w:rFonts w:ascii="Bookman Old Style" w:hAnsi="Bookman Old Style" w:cs="Arial"/>
          <w:lang w:val="sq-AL"/>
        </w:rPr>
        <w:t xml:space="preserve">         2.4. Ekspertiza, Ekspertët........................</w:t>
      </w:r>
      <w:r w:rsidR="008819BF">
        <w:rPr>
          <w:rFonts w:ascii="Bookman Old Style" w:hAnsi="Bookman Old Style" w:cs="Arial"/>
          <w:lang w:val="sq-AL"/>
        </w:rPr>
        <w:t>..........................</w:t>
      </w:r>
      <w:r w:rsidRPr="00824B14">
        <w:rPr>
          <w:rFonts w:ascii="Bookman Old Style" w:hAnsi="Bookman Old Style" w:cs="Arial"/>
          <w:lang w:val="sq-AL"/>
        </w:rPr>
        <w:t>.........................</w:t>
      </w:r>
      <w:r w:rsidR="00C9722E">
        <w:rPr>
          <w:rFonts w:ascii="Bookman Old Style" w:hAnsi="Bookman Old Style" w:cs="Arial"/>
          <w:lang w:val="sq-AL"/>
        </w:rPr>
        <w:t>..................</w:t>
      </w:r>
      <w:r w:rsidRPr="00824B14">
        <w:rPr>
          <w:rFonts w:ascii="Bookman Old Style" w:hAnsi="Bookman Old Style" w:cs="Arial"/>
          <w:lang w:val="sq-AL"/>
        </w:rPr>
        <w:t>.</w:t>
      </w:r>
      <w:r w:rsidR="003C2FB9">
        <w:rPr>
          <w:rFonts w:ascii="Bookman Old Style" w:hAnsi="Bookman Old Style" w:cs="Arial"/>
          <w:lang w:val="sq-AL"/>
        </w:rPr>
        <w:t>43</w:t>
      </w:r>
    </w:p>
    <w:p w:rsidR="00C9722E" w:rsidRDefault="00701E81" w:rsidP="00701E81">
      <w:pPr>
        <w:rPr>
          <w:rFonts w:ascii="Bookman Old Style" w:hAnsi="Bookman Old Style" w:cs="Arial"/>
          <w:lang w:val="sq-AL"/>
        </w:rPr>
      </w:pPr>
      <w:r w:rsidRPr="00824B14">
        <w:rPr>
          <w:rFonts w:ascii="Bookman Old Style" w:hAnsi="Bookman Old Style" w:cs="Arial"/>
          <w:lang w:val="sq-AL"/>
        </w:rPr>
        <w:t xml:space="preserve">         2.5. Bashkëpunimi me aktorë të rëndësishëm të sistemit të drejtësisë në vendin tonë....</w:t>
      </w:r>
      <w:r w:rsidR="003C2FB9">
        <w:rPr>
          <w:rFonts w:ascii="Bookman Old Style" w:hAnsi="Bookman Old Style" w:cs="Arial"/>
          <w:lang w:val="sq-AL"/>
        </w:rPr>
        <w:t>46</w:t>
      </w:r>
    </w:p>
    <w:p w:rsidR="00701E81" w:rsidRPr="00824B14" w:rsidRDefault="00E31EB3" w:rsidP="00701E81">
      <w:pPr>
        <w:rPr>
          <w:rFonts w:ascii="Bookman Old Style" w:hAnsi="Bookman Old Style" w:cs="Arial"/>
          <w:lang w:val="sq-AL"/>
        </w:rPr>
      </w:pPr>
      <w:r>
        <w:rPr>
          <w:rFonts w:ascii="Bookman Old Style" w:hAnsi="Bookman Old Style" w:cs="Arial"/>
          <w:lang w:val="sq-AL"/>
        </w:rPr>
        <w:t xml:space="preserve">         </w:t>
      </w:r>
      <w:r w:rsidR="00701E81" w:rsidRPr="00824B14">
        <w:rPr>
          <w:rFonts w:ascii="Bookman Old Style" w:hAnsi="Bookman Old Style" w:cs="Arial"/>
          <w:lang w:val="sq-AL"/>
        </w:rPr>
        <w:t xml:space="preserve">2.6. </w:t>
      </w:r>
      <w:r w:rsidR="00C9722E" w:rsidRPr="00C9722E">
        <w:rPr>
          <w:rFonts w:ascii="Bookman Old Style" w:hAnsi="Bookman Old Style" w:cs="Arial"/>
          <w:lang w:val="sq-AL"/>
        </w:rPr>
        <w:t>Metodologjia e përdorur në hartimin e përmbajtjes tematike të Programit</w:t>
      </w:r>
      <w:r w:rsidR="008819BF">
        <w:rPr>
          <w:rFonts w:ascii="Bookman Old Style" w:hAnsi="Bookman Old Style" w:cs="Arial"/>
          <w:lang w:val="sq-AL"/>
        </w:rPr>
        <w:t>.......</w:t>
      </w:r>
      <w:r w:rsidR="00701E81" w:rsidRPr="00824B14">
        <w:rPr>
          <w:rFonts w:ascii="Bookman Old Style" w:hAnsi="Bookman Old Style" w:cs="Arial"/>
          <w:lang w:val="sq-AL"/>
        </w:rPr>
        <w:t>..</w:t>
      </w:r>
      <w:r w:rsidR="003C2FB9">
        <w:rPr>
          <w:rFonts w:ascii="Bookman Old Style" w:hAnsi="Bookman Old Style" w:cs="Arial"/>
          <w:lang w:val="sq-AL"/>
        </w:rPr>
        <w:t>......47</w:t>
      </w:r>
    </w:p>
    <w:p w:rsidR="00701E81" w:rsidRPr="000871C1" w:rsidRDefault="00701E81" w:rsidP="00701E81">
      <w:pPr>
        <w:rPr>
          <w:rFonts w:ascii="Bookman Old Style" w:hAnsi="Bookman Old Style" w:cs="Arial"/>
          <w:lang w:val="sq-AL"/>
        </w:rPr>
      </w:pPr>
      <w:r w:rsidRPr="00824B14">
        <w:rPr>
          <w:rFonts w:ascii="Bookman Old Style" w:hAnsi="Bookman Old Style" w:cs="Arial"/>
          <w:lang w:val="sq-AL"/>
        </w:rPr>
        <w:t xml:space="preserve">         2.7. </w:t>
      </w:r>
      <w:r w:rsidR="00C9722E" w:rsidRPr="00C9722E">
        <w:rPr>
          <w:rFonts w:ascii="Bookman Old Style" w:hAnsi="Bookman Old Style" w:cs="Arial"/>
          <w:lang w:val="sq-AL"/>
        </w:rPr>
        <w:t>TRAJNIMI I TRAJNERËVE</w:t>
      </w:r>
      <w:r w:rsidRPr="00824B14">
        <w:rPr>
          <w:rFonts w:ascii="Bookman Old Style" w:hAnsi="Bookman Old Style" w:cs="Arial"/>
          <w:lang w:val="sq-AL"/>
        </w:rPr>
        <w:t>.....</w:t>
      </w:r>
      <w:r w:rsidR="008819BF">
        <w:rPr>
          <w:rFonts w:ascii="Bookman Old Style" w:hAnsi="Bookman Old Style" w:cs="Arial"/>
          <w:lang w:val="sq-AL"/>
        </w:rPr>
        <w:t>..........</w:t>
      </w:r>
      <w:r w:rsidR="00C9722E">
        <w:rPr>
          <w:rFonts w:ascii="Bookman Old Style" w:hAnsi="Bookman Old Style" w:cs="Arial"/>
          <w:lang w:val="sq-AL"/>
        </w:rPr>
        <w:t>.........................................</w:t>
      </w:r>
      <w:r w:rsidR="003C2FB9">
        <w:rPr>
          <w:rFonts w:ascii="Bookman Old Style" w:hAnsi="Bookman Old Style" w:cs="Arial"/>
          <w:lang w:val="sq-AL"/>
        </w:rPr>
        <w:t>..............................47</w:t>
      </w:r>
    </w:p>
    <w:p w:rsidR="00701E81" w:rsidRPr="000871C1" w:rsidRDefault="00701E81" w:rsidP="00701E81">
      <w:pPr>
        <w:numPr>
          <w:ilvl w:val="0"/>
          <w:numId w:val="1"/>
        </w:numPr>
        <w:rPr>
          <w:rFonts w:ascii="Bookman Old Style" w:hAnsi="Bookman Old Style" w:cs="Arial"/>
          <w:b/>
          <w:lang w:val="sq-AL"/>
        </w:rPr>
      </w:pPr>
      <w:r w:rsidRPr="000871C1">
        <w:rPr>
          <w:rFonts w:ascii="Bookman Old Style" w:hAnsi="Bookman Old Style" w:cs="Arial"/>
          <w:b/>
          <w:lang w:val="sq-AL"/>
        </w:rPr>
        <w:t>BOTIME, PUBLIKIME DHE STUDIM</w:t>
      </w:r>
      <w:r w:rsidR="008819BF">
        <w:rPr>
          <w:rFonts w:ascii="Bookman Old Style" w:hAnsi="Bookman Old Style" w:cs="Arial"/>
          <w:b/>
          <w:lang w:val="sq-AL"/>
        </w:rPr>
        <w:t>E................</w:t>
      </w:r>
      <w:r w:rsidR="00E650A9">
        <w:rPr>
          <w:rFonts w:ascii="Bookman Old Style" w:hAnsi="Bookman Old Style" w:cs="Arial"/>
          <w:b/>
          <w:lang w:val="sq-AL"/>
        </w:rPr>
        <w:t>.....................................................</w:t>
      </w:r>
      <w:r w:rsidR="003C2FB9">
        <w:rPr>
          <w:rFonts w:ascii="Bookman Old Style" w:hAnsi="Bookman Old Style" w:cs="Arial"/>
          <w:b/>
          <w:lang w:val="sq-AL"/>
        </w:rPr>
        <w:t>48</w:t>
      </w:r>
    </w:p>
    <w:p w:rsidR="00701E81" w:rsidRPr="000871C1" w:rsidRDefault="00E650A9" w:rsidP="00701E81">
      <w:pPr>
        <w:rPr>
          <w:rFonts w:ascii="Bookman Old Style" w:hAnsi="Bookman Old Style" w:cs="Arial"/>
          <w:lang w:val="sq-AL"/>
        </w:rPr>
      </w:pPr>
      <w:r>
        <w:rPr>
          <w:rFonts w:ascii="Bookman Old Style" w:hAnsi="Bookman Old Style" w:cs="Arial"/>
          <w:lang w:val="sq-AL"/>
        </w:rPr>
        <w:t xml:space="preserve">         3</w:t>
      </w:r>
      <w:r w:rsidR="00701E81" w:rsidRPr="000871C1">
        <w:rPr>
          <w:rFonts w:ascii="Bookman Old Style" w:hAnsi="Bookman Old Style" w:cs="Arial"/>
          <w:lang w:val="sq-AL"/>
        </w:rPr>
        <w:t>.1. Botime</w:t>
      </w:r>
      <w:r>
        <w:rPr>
          <w:rFonts w:ascii="Bookman Old Style" w:hAnsi="Bookman Old Style" w:cs="Arial"/>
          <w:lang w:val="sq-AL"/>
        </w:rPr>
        <w:t xml:space="preserve"> për revistën “JETA JURIDIKE” pë</w:t>
      </w:r>
      <w:r w:rsidR="00701E81" w:rsidRPr="000871C1">
        <w:rPr>
          <w:rFonts w:ascii="Bookman Old Style" w:hAnsi="Bookman Old Style" w:cs="Arial"/>
          <w:lang w:val="sq-AL"/>
        </w:rPr>
        <w:t xml:space="preserve">r vitin </w:t>
      </w:r>
      <w:r>
        <w:rPr>
          <w:rFonts w:ascii="Bookman Old Style" w:hAnsi="Bookman Old Style" w:cs="Arial"/>
          <w:lang w:val="sq-AL"/>
        </w:rPr>
        <w:t>akademik 2015-2016</w:t>
      </w:r>
      <w:r w:rsidR="008819BF">
        <w:rPr>
          <w:rFonts w:ascii="Bookman Old Style" w:hAnsi="Bookman Old Style" w:cs="Arial"/>
          <w:lang w:val="sq-AL"/>
        </w:rPr>
        <w:t>...............</w:t>
      </w:r>
      <w:r>
        <w:rPr>
          <w:rFonts w:ascii="Bookman Old Style" w:hAnsi="Bookman Old Style" w:cs="Arial"/>
          <w:lang w:val="sq-AL"/>
        </w:rPr>
        <w:t>....</w:t>
      </w:r>
      <w:r w:rsidR="00701E81" w:rsidRPr="000871C1">
        <w:rPr>
          <w:rFonts w:ascii="Bookman Old Style" w:hAnsi="Bookman Old Style" w:cs="Arial"/>
          <w:lang w:val="sq-AL"/>
        </w:rPr>
        <w:t>..</w:t>
      </w:r>
      <w:r w:rsidR="003C2FB9">
        <w:rPr>
          <w:rFonts w:ascii="Bookman Old Style" w:hAnsi="Bookman Old Style" w:cs="Arial"/>
          <w:lang w:val="sq-AL"/>
        </w:rPr>
        <w:t>48</w:t>
      </w:r>
    </w:p>
    <w:p w:rsidR="00701E81" w:rsidRDefault="00E650A9" w:rsidP="00701E81">
      <w:pPr>
        <w:rPr>
          <w:rFonts w:ascii="Bookman Old Style" w:hAnsi="Bookman Old Style" w:cs="Arial"/>
          <w:lang w:val="sq-AL"/>
        </w:rPr>
      </w:pPr>
      <w:r>
        <w:rPr>
          <w:rFonts w:ascii="Bookman Old Style" w:hAnsi="Bookman Old Style" w:cs="Arial"/>
          <w:lang w:val="sq-AL"/>
        </w:rPr>
        <w:t xml:space="preserve">         3</w:t>
      </w:r>
      <w:r w:rsidR="00701E81" w:rsidRPr="000871C1">
        <w:rPr>
          <w:rFonts w:ascii="Bookman Old Style" w:hAnsi="Bookman Old Style" w:cs="Arial"/>
          <w:lang w:val="sq-AL"/>
        </w:rPr>
        <w:t>.2. Raporti për  Botimet e Teksteve Shkencore të Shkollës se Magjistraturës</w:t>
      </w:r>
      <w:r w:rsidR="008819BF">
        <w:rPr>
          <w:rFonts w:ascii="Bookman Old Style" w:hAnsi="Bookman Old Style" w:cs="Arial"/>
          <w:lang w:val="sq-AL"/>
        </w:rPr>
        <w:t xml:space="preserve"> 2015-2016......................................................................................................................................</w:t>
      </w:r>
      <w:r w:rsidR="003C2FB9">
        <w:rPr>
          <w:rFonts w:ascii="Bookman Old Style" w:hAnsi="Bookman Old Style" w:cs="Arial"/>
          <w:lang w:val="sq-AL"/>
        </w:rPr>
        <w:t>51</w:t>
      </w:r>
    </w:p>
    <w:p w:rsidR="00701E81" w:rsidRPr="000871C1" w:rsidRDefault="00E31EB3" w:rsidP="00701E81">
      <w:pPr>
        <w:rPr>
          <w:rFonts w:ascii="Bookman Old Style" w:hAnsi="Bookman Old Style" w:cs="Arial"/>
          <w:b/>
          <w:lang w:val="sq-AL"/>
        </w:rPr>
      </w:pPr>
      <w:r>
        <w:rPr>
          <w:rFonts w:ascii="Bookman Old Style" w:hAnsi="Bookman Old Style" w:cs="Arial"/>
          <w:b/>
          <w:lang w:val="sq-AL"/>
        </w:rPr>
        <w:t xml:space="preserve">     </w:t>
      </w:r>
      <w:r w:rsidR="00E650A9">
        <w:rPr>
          <w:rFonts w:ascii="Bookman Old Style" w:hAnsi="Bookman Old Style" w:cs="Arial"/>
          <w:b/>
          <w:lang w:val="sq-AL"/>
        </w:rPr>
        <w:t>4</w:t>
      </w:r>
      <w:r w:rsidR="00701E81" w:rsidRPr="000871C1">
        <w:rPr>
          <w:rFonts w:ascii="Bookman Old Style" w:hAnsi="Bookman Old Style" w:cs="Arial"/>
          <w:b/>
          <w:lang w:val="sq-AL"/>
        </w:rPr>
        <w:t>.PËRDORIMI I TEKNOLOGJISË SE P</w:t>
      </w:r>
      <w:r w:rsidR="008819BF">
        <w:rPr>
          <w:rFonts w:ascii="Bookman Old Style" w:hAnsi="Bookman Old Style" w:cs="Arial"/>
          <w:b/>
          <w:lang w:val="sq-AL"/>
        </w:rPr>
        <w:t>ËRPARUAR DHE INTERNETIT....</w:t>
      </w:r>
      <w:r w:rsidR="00701E81" w:rsidRPr="000871C1">
        <w:rPr>
          <w:rFonts w:ascii="Bookman Old Style" w:hAnsi="Bookman Old Style" w:cs="Arial"/>
          <w:b/>
          <w:lang w:val="sq-AL"/>
        </w:rPr>
        <w:t>...</w:t>
      </w:r>
      <w:r w:rsidR="00E650A9">
        <w:rPr>
          <w:rFonts w:ascii="Bookman Old Style" w:hAnsi="Bookman Old Style" w:cs="Arial"/>
          <w:b/>
          <w:lang w:val="sq-AL"/>
        </w:rPr>
        <w:t>...................</w:t>
      </w:r>
      <w:r w:rsidR="003C2FB9">
        <w:rPr>
          <w:rFonts w:ascii="Bookman Old Style" w:hAnsi="Bookman Old Style" w:cs="Arial"/>
          <w:b/>
          <w:lang w:val="sq-AL"/>
        </w:rPr>
        <w:t>56</w:t>
      </w:r>
    </w:p>
    <w:p w:rsidR="00701E81" w:rsidRPr="000871C1" w:rsidRDefault="009C5D9C" w:rsidP="008819BF">
      <w:pPr>
        <w:ind w:left="720"/>
        <w:rPr>
          <w:rFonts w:ascii="Bookman Old Style" w:hAnsi="Bookman Old Style" w:cs="Arial"/>
          <w:lang w:val="sq-AL"/>
        </w:rPr>
      </w:pPr>
      <w:r>
        <w:rPr>
          <w:rFonts w:ascii="Bookman Old Style" w:hAnsi="Bookman Old Style" w:cs="Arial"/>
          <w:lang w:val="sq-AL"/>
        </w:rPr>
        <w:t xml:space="preserve">  4</w:t>
      </w:r>
      <w:r w:rsidR="00701E81" w:rsidRPr="000871C1">
        <w:rPr>
          <w:rFonts w:ascii="Bookman Old Style" w:hAnsi="Bookman Old Style" w:cs="Arial"/>
          <w:lang w:val="sq-AL"/>
        </w:rPr>
        <w:t>.1.Interneti...................................................................................................</w:t>
      </w:r>
      <w:r w:rsidR="00E650A9">
        <w:rPr>
          <w:rFonts w:ascii="Bookman Old Style" w:hAnsi="Bookman Old Style" w:cs="Arial"/>
          <w:lang w:val="sq-AL"/>
        </w:rPr>
        <w:t>.............</w:t>
      </w:r>
      <w:r w:rsidR="00701E81" w:rsidRPr="000871C1">
        <w:rPr>
          <w:rFonts w:ascii="Bookman Old Style" w:hAnsi="Bookman Old Style" w:cs="Arial"/>
          <w:lang w:val="sq-AL"/>
        </w:rPr>
        <w:t>.</w:t>
      </w:r>
      <w:r w:rsidR="003C2FB9">
        <w:rPr>
          <w:rFonts w:ascii="Bookman Old Style" w:hAnsi="Bookman Old Style" w:cs="Arial"/>
          <w:lang w:val="sq-AL"/>
        </w:rPr>
        <w:t>56</w:t>
      </w:r>
    </w:p>
    <w:p w:rsidR="00701E81" w:rsidRPr="000871C1" w:rsidRDefault="00E650A9" w:rsidP="00701E81">
      <w:pPr>
        <w:rPr>
          <w:rFonts w:ascii="Bookman Old Style" w:hAnsi="Bookman Old Style" w:cs="Arial"/>
          <w:lang w:val="sq-AL"/>
        </w:rPr>
      </w:pPr>
      <w:r>
        <w:rPr>
          <w:rFonts w:ascii="Bookman Old Style" w:hAnsi="Bookman Old Style" w:cs="Arial"/>
          <w:lang w:val="sq-AL"/>
        </w:rPr>
        <w:t xml:space="preserve">         4</w:t>
      </w:r>
      <w:r w:rsidR="00701E81" w:rsidRPr="000871C1">
        <w:rPr>
          <w:rFonts w:ascii="Bookman Old Style" w:hAnsi="Bookman Old Style" w:cs="Arial"/>
          <w:lang w:val="sq-AL"/>
        </w:rPr>
        <w:t>.2. Programet Aplikative</w:t>
      </w:r>
      <w:r>
        <w:rPr>
          <w:rFonts w:ascii="Bookman Old Style" w:hAnsi="Bookman Old Style" w:cs="Arial"/>
          <w:lang w:val="sq-AL"/>
        </w:rPr>
        <w:t xml:space="preserve"> dhe Web</w:t>
      </w:r>
      <w:r w:rsidR="00701E81" w:rsidRPr="000871C1">
        <w:rPr>
          <w:rFonts w:ascii="Bookman Old Style" w:hAnsi="Bookman Old Style" w:cs="Arial"/>
          <w:lang w:val="sq-AL"/>
        </w:rPr>
        <w:t>...........................................................................</w:t>
      </w:r>
      <w:r>
        <w:rPr>
          <w:rFonts w:ascii="Bookman Old Style" w:hAnsi="Bookman Old Style" w:cs="Arial"/>
          <w:lang w:val="sq-AL"/>
        </w:rPr>
        <w:t>....</w:t>
      </w:r>
      <w:r w:rsidR="00701E81" w:rsidRPr="000871C1">
        <w:rPr>
          <w:rFonts w:ascii="Bookman Old Style" w:hAnsi="Bookman Old Style" w:cs="Arial"/>
          <w:lang w:val="sq-AL"/>
        </w:rPr>
        <w:t>.</w:t>
      </w:r>
      <w:r w:rsidR="003C2FB9">
        <w:rPr>
          <w:rFonts w:ascii="Bookman Old Style" w:hAnsi="Bookman Old Style" w:cs="Arial"/>
          <w:lang w:val="sq-AL"/>
        </w:rPr>
        <w:t>57</w:t>
      </w:r>
    </w:p>
    <w:p w:rsidR="00701E81" w:rsidRPr="000871C1" w:rsidRDefault="00E650A9" w:rsidP="00701E81">
      <w:pPr>
        <w:rPr>
          <w:rFonts w:ascii="Bookman Old Style" w:hAnsi="Bookman Old Style" w:cs="Arial"/>
          <w:i/>
          <w:lang w:val="sq-AL"/>
        </w:rPr>
      </w:pPr>
      <w:r>
        <w:rPr>
          <w:rFonts w:ascii="Bookman Old Style" w:hAnsi="Bookman Old Style" w:cs="Arial"/>
          <w:lang w:val="sq-AL"/>
        </w:rPr>
        <w:t xml:space="preserve">         4</w:t>
      </w:r>
      <w:r w:rsidR="00701E81" w:rsidRPr="000871C1">
        <w:rPr>
          <w:rFonts w:ascii="Bookman Old Style" w:hAnsi="Bookman Old Style" w:cs="Arial"/>
          <w:lang w:val="sq-AL"/>
        </w:rPr>
        <w:t>.3. Teknologjia........................................................................................</w:t>
      </w:r>
      <w:r>
        <w:rPr>
          <w:rFonts w:ascii="Bookman Old Style" w:hAnsi="Bookman Old Style" w:cs="Arial"/>
          <w:lang w:val="sq-AL"/>
        </w:rPr>
        <w:t>..................</w:t>
      </w:r>
      <w:r w:rsidR="00C9722E">
        <w:rPr>
          <w:rFonts w:ascii="Bookman Old Style" w:hAnsi="Bookman Old Style" w:cs="Arial"/>
          <w:lang w:val="sq-AL"/>
        </w:rPr>
        <w:t>.</w:t>
      </w:r>
      <w:r>
        <w:rPr>
          <w:rFonts w:ascii="Bookman Old Style" w:hAnsi="Bookman Old Style" w:cs="Arial"/>
          <w:lang w:val="sq-AL"/>
        </w:rPr>
        <w:t>..</w:t>
      </w:r>
      <w:r w:rsidR="00C9722E">
        <w:rPr>
          <w:rFonts w:ascii="Bookman Old Style" w:hAnsi="Bookman Old Style" w:cs="Arial"/>
          <w:lang w:val="sq-AL"/>
        </w:rPr>
        <w:t>5</w:t>
      </w:r>
      <w:r w:rsidR="003C2FB9">
        <w:rPr>
          <w:rFonts w:ascii="Bookman Old Style" w:hAnsi="Bookman Old Style" w:cs="Arial"/>
          <w:lang w:val="sq-AL"/>
        </w:rPr>
        <w:t>8</w:t>
      </w:r>
    </w:p>
    <w:p w:rsidR="00701E81" w:rsidRPr="000871C1" w:rsidRDefault="00E650A9" w:rsidP="00701E81">
      <w:pPr>
        <w:rPr>
          <w:rFonts w:ascii="Bookman Old Style" w:hAnsi="Bookman Old Style" w:cs="Arial"/>
          <w:lang w:val="sq-AL"/>
        </w:rPr>
      </w:pPr>
      <w:r>
        <w:rPr>
          <w:rFonts w:ascii="Bookman Old Style" w:hAnsi="Bookman Old Style" w:cs="Arial"/>
          <w:lang w:val="sq-AL"/>
        </w:rPr>
        <w:t xml:space="preserve">         4</w:t>
      </w:r>
      <w:r w:rsidR="00701E81" w:rsidRPr="000871C1">
        <w:rPr>
          <w:rFonts w:ascii="Bookman Old Style" w:hAnsi="Bookman Old Style" w:cs="Arial"/>
          <w:lang w:val="sq-AL"/>
        </w:rPr>
        <w:t>.4. Planifikim për të ardhmen ......................................................................</w:t>
      </w:r>
      <w:r>
        <w:rPr>
          <w:rFonts w:ascii="Bookman Old Style" w:hAnsi="Bookman Old Style" w:cs="Arial"/>
          <w:lang w:val="sq-AL"/>
        </w:rPr>
        <w:t>...............</w:t>
      </w:r>
      <w:r w:rsidR="003C2FB9">
        <w:rPr>
          <w:rFonts w:ascii="Bookman Old Style" w:hAnsi="Bookman Old Style" w:cs="Arial"/>
          <w:lang w:val="sq-AL"/>
        </w:rPr>
        <w:t>59</w:t>
      </w:r>
    </w:p>
    <w:p w:rsidR="00701E81" w:rsidRPr="00B40CEE" w:rsidRDefault="00E31EB3" w:rsidP="00723CAB">
      <w:pPr>
        <w:rPr>
          <w:rFonts w:ascii="Bookman Old Style" w:hAnsi="Bookman Old Style" w:cs="Arial"/>
          <w:lang w:val="sq-AL"/>
        </w:rPr>
      </w:pPr>
      <w:r>
        <w:rPr>
          <w:rFonts w:ascii="Bookman Old Style" w:hAnsi="Bookman Old Style" w:cs="Arial"/>
          <w:b/>
          <w:lang w:val="sq-AL"/>
        </w:rPr>
        <w:t xml:space="preserve">     </w:t>
      </w:r>
      <w:r w:rsidR="00E650A9">
        <w:rPr>
          <w:rFonts w:ascii="Bookman Old Style" w:hAnsi="Bookman Old Style" w:cs="Arial"/>
          <w:b/>
          <w:lang w:val="sq-AL"/>
        </w:rPr>
        <w:t xml:space="preserve">5. </w:t>
      </w:r>
      <w:r w:rsidR="00701E81" w:rsidRPr="00B40CEE">
        <w:rPr>
          <w:rFonts w:ascii="Bookman Old Style" w:hAnsi="Bookman Old Style" w:cs="Arial"/>
          <w:b/>
          <w:lang w:val="sq-AL"/>
        </w:rPr>
        <w:t xml:space="preserve">MBËSHTETJA FINANCIARE NGA PARTNERËT </w:t>
      </w:r>
      <w:r w:rsidR="00723CAB" w:rsidRPr="00723CAB">
        <w:rPr>
          <w:rFonts w:ascii="Bookman Old Style" w:hAnsi="Bookman Old Style" w:cs="Arial"/>
          <w:b/>
          <w:lang w:val="sq-AL"/>
        </w:rPr>
        <w:t>NDËRKOMBËTARË</w:t>
      </w:r>
      <w:r w:rsidR="00E650A9" w:rsidRPr="00E650A9">
        <w:rPr>
          <w:rFonts w:ascii="Bookman Old Style" w:hAnsi="Bookman Old Style" w:cs="Arial"/>
          <w:b/>
          <w:lang w:val="sq-AL"/>
        </w:rPr>
        <w:t xml:space="preserve">GJATË VITIT </w:t>
      </w:r>
      <w:r>
        <w:rPr>
          <w:rFonts w:ascii="Bookman Old Style" w:hAnsi="Bookman Old Style" w:cs="Arial"/>
          <w:b/>
          <w:lang w:val="sq-AL"/>
        </w:rPr>
        <w:t xml:space="preserve">    </w:t>
      </w:r>
      <w:r w:rsidR="00E650A9" w:rsidRPr="00E650A9">
        <w:rPr>
          <w:rFonts w:ascii="Bookman Old Style" w:hAnsi="Bookman Old Style" w:cs="Arial"/>
          <w:b/>
          <w:lang w:val="sq-AL"/>
        </w:rPr>
        <w:t>AKADEMIK 2015-2016</w:t>
      </w:r>
      <w:r w:rsidR="00701E81" w:rsidRPr="00B40CEE">
        <w:rPr>
          <w:rFonts w:ascii="Bookman Old Style" w:hAnsi="Bookman Old Style" w:cs="Arial"/>
          <w:b/>
          <w:lang w:val="sq-AL"/>
        </w:rPr>
        <w:t>...........................................</w:t>
      </w:r>
      <w:r w:rsidR="00E650A9">
        <w:rPr>
          <w:rFonts w:ascii="Bookman Old Style" w:hAnsi="Bookman Old Style" w:cs="Arial"/>
          <w:b/>
          <w:lang w:val="sq-AL"/>
        </w:rPr>
        <w:t>................</w:t>
      </w:r>
      <w:r w:rsidR="00701E81" w:rsidRPr="00B40CEE">
        <w:rPr>
          <w:rFonts w:ascii="Bookman Old Style" w:hAnsi="Bookman Old Style" w:cs="Arial"/>
          <w:b/>
          <w:lang w:val="sq-AL"/>
        </w:rPr>
        <w:t>......................</w:t>
      </w:r>
      <w:r w:rsidR="00E650A9">
        <w:rPr>
          <w:rFonts w:ascii="Bookman Old Style" w:hAnsi="Bookman Old Style" w:cs="Arial"/>
          <w:b/>
          <w:lang w:val="sq-AL"/>
        </w:rPr>
        <w:t>.....</w:t>
      </w:r>
      <w:r w:rsidR="00723CAB">
        <w:rPr>
          <w:rFonts w:ascii="Bookman Old Style" w:hAnsi="Bookman Old Style" w:cs="Arial"/>
          <w:b/>
          <w:lang w:val="sq-AL"/>
        </w:rPr>
        <w:t>.........</w:t>
      </w:r>
      <w:r w:rsidR="00E650A9">
        <w:rPr>
          <w:rFonts w:ascii="Bookman Old Style" w:hAnsi="Bookman Old Style" w:cs="Arial"/>
          <w:b/>
          <w:lang w:val="sq-AL"/>
        </w:rPr>
        <w:t>..</w:t>
      </w:r>
      <w:r w:rsidR="00701E81" w:rsidRPr="00B40CEE">
        <w:rPr>
          <w:rFonts w:ascii="Bookman Old Style" w:hAnsi="Bookman Old Style" w:cs="Arial"/>
          <w:b/>
          <w:lang w:val="sq-AL"/>
        </w:rPr>
        <w:t>..</w:t>
      </w:r>
      <w:r w:rsidR="003C2FB9">
        <w:rPr>
          <w:rFonts w:ascii="Bookman Old Style" w:hAnsi="Bookman Old Style" w:cs="Arial"/>
          <w:b/>
          <w:lang w:val="sq-AL"/>
        </w:rPr>
        <w:t>60</w:t>
      </w:r>
    </w:p>
    <w:p w:rsidR="00701E81" w:rsidRPr="00B40CEE" w:rsidRDefault="008819BF" w:rsidP="00723CAB">
      <w:pPr>
        <w:rPr>
          <w:rFonts w:ascii="Bookman Old Style" w:hAnsi="Bookman Old Style" w:cs="Arial"/>
          <w:lang w:val="sq-AL"/>
        </w:rPr>
      </w:pPr>
      <w:r>
        <w:rPr>
          <w:rFonts w:ascii="Bookman Old Style" w:hAnsi="Bookman Old Style" w:cs="Arial"/>
          <w:lang w:val="sq-AL"/>
        </w:rPr>
        <w:t xml:space="preserve">         </w:t>
      </w:r>
      <w:r w:rsidR="00723CAB">
        <w:rPr>
          <w:rFonts w:ascii="Bookman Old Style" w:hAnsi="Bookman Old Style" w:cs="Arial"/>
          <w:lang w:val="sq-AL"/>
        </w:rPr>
        <w:t>5.1</w:t>
      </w:r>
      <w:r w:rsidR="00701E81" w:rsidRPr="00B40CEE">
        <w:rPr>
          <w:rFonts w:ascii="Bookman Old Style" w:hAnsi="Bookman Old Style" w:cs="Arial"/>
          <w:lang w:val="sq-AL"/>
        </w:rPr>
        <w:t>.Mbështetja financiare nga partnerët ndërkomëtare</w:t>
      </w:r>
      <w:r w:rsidR="00723CAB" w:rsidRPr="00723CAB">
        <w:rPr>
          <w:rFonts w:ascii="Bookman Old Style" w:hAnsi="Bookman Old Style" w:cs="Arial"/>
          <w:lang w:val="sq-AL"/>
        </w:rPr>
        <w:t>gjatë vitit akademik 2015-2016</w:t>
      </w:r>
      <w:r>
        <w:rPr>
          <w:rFonts w:ascii="Bookman Old Style" w:hAnsi="Bookman Old Style" w:cs="Arial"/>
          <w:lang w:val="sq-AL"/>
        </w:rPr>
        <w:t>..</w:t>
      </w:r>
      <w:r w:rsidR="00723CAB">
        <w:rPr>
          <w:rFonts w:ascii="Bookman Old Style" w:hAnsi="Bookman Old Style" w:cs="Arial"/>
          <w:lang w:val="sq-AL"/>
        </w:rPr>
        <w:t>.</w:t>
      </w:r>
      <w:r w:rsidR="003C2FB9">
        <w:rPr>
          <w:rFonts w:ascii="Bookman Old Style" w:hAnsi="Bookman Old Style" w:cs="Arial"/>
          <w:lang w:val="sq-AL"/>
        </w:rPr>
        <w:t>60</w:t>
      </w:r>
    </w:p>
    <w:p w:rsidR="00701E81" w:rsidRPr="000871C1" w:rsidRDefault="00C9722E" w:rsidP="00723CAB">
      <w:pPr>
        <w:ind w:left="720"/>
        <w:rPr>
          <w:rFonts w:ascii="Bookman Old Style" w:hAnsi="Bookman Old Style" w:cs="Arial"/>
          <w:b/>
          <w:lang w:val="sq-AL"/>
        </w:rPr>
      </w:pPr>
      <w:r>
        <w:rPr>
          <w:rFonts w:ascii="Bookman Old Style" w:hAnsi="Bookman Old Style" w:cs="Arial"/>
          <w:b/>
          <w:lang w:val="sq-AL"/>
        </w:rPr>
        <w:lastRenderedPageBreak/>
        <w:t xml:space="preserve">ANEKS II - </w:t>
      </w:r>
      <w:r w:rsidR="00701E81" w:rsidRPr="000871C1">
        <w:rPr>
          <w:rFonts w:ascii="Bookman Old Style" w:hAnsi="Bookman Old Style" w:cs="Arial"/>
          <w:b/>
          <w:lang w:val="sq-AL"/>
        </w:rPr>
        <w:t>TABELA E MBËS</w:t>
      </w:r>
      <w:r w:rsidR="00723CAB">
        <w:rPr>
          <w:rFonts w:ascii="Bookman Old Style" w:hAnsi="Bookman Old Style" w:cs="Arial"/>
          <w:b/>
          <w:lang w:val="sq-AL"/>
        </w:rPr>
        <w:t xml:space="preserve">HTETJES FINANCIARE  NGA </w:t>
      </w:r>
      <w:r w:rsidR="00723CAB" w:rsidRPr="00723CAB">
        <w:rPr>
          <w:rFonts w:ascii="Bookman Old Style" w:hAnsi="Bookman Old Style" w:cs="Arial"/>
          <w:b/>
          <w:lang w:val="sq-AL"/>
        </w:rPr>
        <w:t>PARTNERËT NDËRKOMBËTARË</w:t>
      </w:r>
      <w:r w:rsidR="00701E81" w:rsidRPr="000871C1">
        <w:rPr>
          <w:rFonts w:ascii="Bookman Old Style" w:hAnsi="Bookman Old Style" w:cs="Arial"/>
          <w:b/>
          <w:lang w:val="sq-AL"/>
        </w:rPr>
        <w:t>..............</w:t>
      </w:r>
      <w:r w:rsidR="00701E81">
        <w:rPr>
          <w:rFonts w:ascii="Bookman Old Style" w:hAnsi="Bookman Old Style" w:cs="Arial"/>
          <w:b/>
          <w:lang w:val="sq-AL"/>
        </w:rPr>
        <w:t>.....</w:t>
      </w:r>
      <w:r w:rsidR="00723CAB">
        <w:rPr>
          <w:rFonts w:ascii="Bookman Old Style" w:hAnsi="Bookman Old Style" w:cs="Arial"/>
          <w:b/>
          <w:lang w:val="sq-AL"/>
        </w:rPr>
        <w:t>............................................................................</w:t>
      </w:r>
      <w:r w:rsidR="003C2FB9">
        <w:rPr>
          <w:rFonts w:ascii="Bookman Old Style" w:hAnsi="Bookman Old Style" w:cs="Arial"/>
          <w:b/>
          <w:lang w:val="sq-AL"/>
        </w:rPr>
        <w:t>60</w:t>
      </w:r>
    </w:p>
    <w:p w:rsidR="00701E81" w:rsidRPr="000871C1" w:rsidRDefault="00723CAB" w:rsidP="00723CAB">
      <w:pPr>
        <w:ind w:left="360"/>
        <w:rPr>
          <w:rFonts w:ascii="Bookman Old Style" w:hAnsi="Bookman Old Style" w:cs="Arial"/>
          <w:b/>
          <w:lang w:val="sq-AL"/>
        </w:rPr>
      </w:pPr>
      <w:r>
        <w:rPr>
          <w:rFonts w:ascii="Bookman Old Style" w:hAnsi="Bookman Old Style" w:cs="Arial"/>
          <w:b/>
          <w:lang w:val="sq-AL"/>
        </w:rPr>
        <w:t xml:space="preserve">6. </w:t>
      </w:r>
      <w:r w:rsidR="00701E81" w:rsidRPr="000871C1">
        <w:rPr>
          <w:rFonts w:ascii="Bookman Old Style" w:hAnsi="Bookman Old Style" w:cs="Arial"/>
          <w:b/>
          <w:lang w:val="sq-AL"/>
        </w:rPr>
        <w:t xml:space="preserve">AKTIVITETE ME </w:t>
      </w:r>
      <w:r w:rsidRPr="00723CAB">
        <w:rPr>
          <w:rFonts w:ascii="Bookman Old Style" w:hAnsi="Bookman Old Style" w:cs="Arial"/>
          <w:b/>
          <w:lang w:val="sq-AL"/>
        </w:rPr>
        <w:t>PARTNERËT NDËRKOMBËTARË</w:t>
      </w:r>
      <w:r w:rsidR="00701E81" w:rsidRPr="000871C1">
        <w:rPr>
          <w:rFonts w:ascii="Bookman Old Style" w:hAnsi="Bookman Old Style" w:cs="Arial"/>
          <w:b/>
          <w:lang w:val="sq-AL"/>
        </w:rPr>
        <w:t>...</w:t>
      </w:r>
      <w:r w:rsidR="008819BF">
        <w:rPr>
          <w:rFonts w:ascii="Bookman Old Style" w:hAnsi="Bookman Old Style" w:cs="Arial"/>
          <w:b/>
          <w:lang w:val="sq-AL"/>
        </w:rPr>
        <w:t>............................</w:t>
      </w:r>
      <w:r w:rsidR="00701E81" w:rsidRPr="000871C1">
        <w:rPr>
          <w:rFonts w:ascii="Bookman Old Style" w:hAnsi="Bookman Old Style" w:cs="Arial"/>
          <w:b/>
          <w:lang w:val="sq-AL"/>
        </w:rPr>
        <w:t>..</w:t>
      </w:r>
      <w:r w:rsidR="00701E81">
        <w:rPr>
          <w:rFonts w:ascii="Bookman Old Style" w:hAnsi="Bookman Old Style" w:cs="Arial"/>
          <w:b/>
          <w:lang w:val="sq-AL"/>
        </w:rPr>
        <w:t>..</w:t>
      </w:r>
      <w:r>
        <w:rPr>
          <w:rFonts w:ascii="Bookman Old Style" w:hAnsi="Bookman Old Style" w:cs="Arial"/>
          <w:b/>
          <w:lang w:val="sq-AL"/>
        </w:rPr>
        <w:t>...............</w:t>
      </w:r>
      <w:r w:rsidR="003C2FB9">
        <w:rPr>
          <w:rFonts w:ascii="Bookman Old Style" w:hAnsi="Bookman Old Style" w:cs="Arial"/>
          <w:b/>
          <w:lang w:val="sq-AL"/>
        </w:rPr>
        <w:t>65</w:t>
      </w:r>
    </w:p>
    <w:p w:rsidR="00701E81" w:rsidRPr="000871C1" w:rsidRDefault="00E31EB3" w:rsidP="00701E81">
      <w:pPr>
        <w:rPr>
          <w:rFonts w:ascii="Bookman Old Style" w:hAnsi="Bookman Old Style" w:cs="Arial"/>
          <w:lang w:val="sq-AL"/>
        </w:rPr>
      </w:pPr>
      <w:r>
        <w:rPr>
          <w:rFonts w:ascii="Bookman Old Style" w:hAnsi="Bookman Old Style" w:cs="Arial"/>
          <w:b/>
          <w:lang w:val="sq-AL"/>
        </w:rPr>
        <w:t xml:space="preserve">     </w:t>
      </w:r>
      <w:r w:rsidR="00723CAB">
        <w:rPr>
          <w:rFonts w:ascii="Bookman Old Style" w:hAnsi="Bookman Old Style" w:cs="Arial"/>
          <w:b/>
          <w:lang w:val="sq-AL"/>
        </w:rPr>
        <w:t>7</w:t>
      </w:r>
      <w:r w:rsidR="00701E81" w:rsidRPr="000871C1">
        <w:rPr>
          <w:rFonts w:ascii="Bookman Old Style" w:hAnsi="Bookman Old Style" w:cs="Arial"/>
          <w:b/>
          <w:lang w:val="sq-AL"/>
        </w:rPr>
        <w:t>. PERSPEKTIVA DHE VIZIONI PËR TË ARDHMEN...........................................</w:t>
      </w:r>
      <w:r w:rsidR="00701E81">
        <w:rPr>
          <w:rFonts w:ascii="Bookman Old Style" w:hAnsi="Bookman Old Style" w:cs="Arial"/>
          <w:b/>
          <w:lang w:val="sq-AL"/>
        </w:rPr>
        <w:t>.</w:t>
      </w:r>
      <w:r w:rsidR="008819BF">
        <w:rPr>
          <w:rFonts w:ascii="Bookman Old Style" w:hAnsi="Bookman Old Style" w:cs="Arial"/>
          <w:b/>
          <w:lang w:val="sq-AL"/>
        </w:rPr>
        <w:t>....</w:t>
      </w:r>
      <w:r w:rsidR="00723CAB">
        <w:rPr>
          <w:rFonts w:ascii="Bookman Old Style" w:hAnsi="Bookman Old Style" w:cs="Arial"/>
          <w:b/>
          <w:lang w:val="sq-AL"/>
        </w:rPr>
        <w:t>....</w:t>
      </w:r>
      <w:r w:rsidR="00C9722E">
        <w:rPr>
          <w:rFonts w:ascii="Bookman Old Style" w:hAnsi="Bookman Old Style" w:cs="Arial"/>
          <w:b/>
          <w:lang w:val="sq-AL"/>
        </w:rPr>
        <w:t>7</w:t>
      </w:r>
      <w:r w:rsidR="003C2FB9">
        <w:rPr>
          <w:rFonts w:ascii="Bookman Old Style" w:hAnsi="Bookman Old Style" w:cs="Arial"/>
          <w:b/>
          <w:lang w:val="sq-AL"/>
        </w:rPr>
        <w:t>1</w:t>
      </w:r>
    </w:p>
    <w:p w:rsidR="00701E81" w:rsidRPr="000871C1" w:rsidRDefault="00723CAB" w:rsidP="00701E81">
      <w:pPr>
        <w:rPr>
          <w:rFonts w:ascii="Bookman Old Style" w:hAnsi="Bookman Old Style" w:cs="Arial"/>
          <w:lang w:val="sq-AL"/>
        </w:rPr>
      </w:pPr>
      <w:r>
        <w:rPr>
          <w:rFonts w:ascii="Bookman Old Style" w:hAnsi="Bookman Old Style" w:cs="Arial"/>
          <w:lang w:val="sq-AL"/>
        </w:rPr>
        <w:t xml:space="preserve">         7</w:t>
      </w:r>
      <w:r w:rsidR="00701E81" w:rsidRPr="000871C1">
        <w:rPr>
          <w:rFonts w:ascii="Bookman Old Style" w:hAnsi="Bookman Old Style" w:cs="Arial"/>
          <w:lang w:val="sq-AL"/>
        </w:rPr>
        <w:t>.1. Trajnimi Fillestar...................................</w:t>
      </w:r>
      <w:r w:rsidR="008819BF">
        <w:rPr>
          <w:rFonts w:ascii="Bookman Old Style" w:hAnsi="Bookman Old Style" w:cs="Arial"/>
          <w:lang w:val="sq-AL"/>
        </w:rPr>
        <w:t>..........................</w:t>
      </w:r>
      <w:r w:rsidR="00701E81" w:rsidRPr="000871C1">
        <w:rPr>
          <w:rFonts w:ascii="Bookman Old Style" w:hAnsi="Bookman Old Style" w:cs="Arial"/>
          <w:lang w:val="sq-AL"/>
        </w:rPr>
        <w:t>.......................</w:t>
      </w:r>
      <w:r>
        <w:rPr>
          <w:rFonts w:ascii="Bookman Old Style" w:hAnsi="Bookman Old Style" w:cs="Arial"/>
          <w:lang w:val="sq-AL"/>
        </w:rPr>
        <w:t>..............</w:t>
      </w:r>
      <w:r w:rsidR="003C2FB9">
        <w:rPr>
          <w:rFonts w:ascii="Bookman Old Style" w:hAnsi="Bookman Old Style" w:cs="Arial"/>
          <w:lang w:val="sq-AL"/>
        </w:rPr>
        <w:t xml:space="preserve"> </w:t>
      </w:r>
      <w:r w:rsidR="00701E81" w:rsidRPr="000871C1">
        <w:rPr>
          <w:rFonts w:ascii="Bookman Old Style" w:hAnsi="Bookman Old Style" w:cs="Arial"/>
          <w:lang w:val="sq-AL"/>
        </w:rPr>
        <w:t>.</w:t>
      </w:r>
      <w:r w:rsidR="003C2FB9">
        <w:rPr>
          <w:rFonts w:ascii="Bookman Old Style" w:hAnsi="Bookman Old Style" w:cs="Arial"/>
          <w:lang w:val="sq-AL"/>
        </w:rPr>
        <w:t>71</w:t>
      </w:r>
    </w:p>
    <w:p w:rsidR="00701E81" w:rsidRPr="000871C1" w:rsidRDefault="00723CAB" w:rsidP="00701E81">
      <w:pPr>
        <w:rPr>
          <w:rFonts w:ascii="Bookman Old Style" w:hAnsi="Bookman Old Style" w:cs="Arial"/>
          <w:lang w:val="sq-AL"/>
        </w:rPr>
      </w:pPr>
      <w:r>
        <w:rPr>
          <w:rFonts w:ascii="Bookman Old Style" w:hAnsi="Bookman Old Style" w:cs="Arial"/>
          <w:lang w:val="sq-AL"/>
        </w:rPr>
        <w:t xml:space="preserve">         7</w:t>
      </w:r>
      <w:r w:rsidR="00701E81" w:rsidRPr="000871C1">
        <w:rPr>
          <w:rFonts w:ascii="Bookman Old Style" w:hAnsi="Bookman Old Style" w:cs="Arial"/>
          <w:lang w:val="sq-AL"/>
        </w:rPr>
        <w:t>.2. Trajnimi i Vazhduar...........................................</w:t>
      </w:r>
      <w:r w:rsidR="008819BF">
        <w:rPr>
          <w:rFonts w:ascii="Bookman Old Style" w:hAnsi="Bookman Old Style" w:cs="Arial"/>
          <w:lang w:val="sq-AL"/>
        </w:rPr>
        <w:t>...................</w:t>
      </w:r>
      <w:r w:rsidR="00701E81" w:rsidRPr="000871C1">
        <w:rPr>
          <w:rFonts w:ascii="Bookman Old Style" w:hAnsi="Bookman Old Style" w:cs="Arial"/>
          <w:lang w:val="sq-AL"/>
        </w:rPr>
        <w:t>...................</w:t>
      </w:r>
      <w:r>
        <w:rPr>
          <w:rFonts w:ascii="Bookman Old Style" w:hAnsi="Bookman Old Style" w:cs="Arial"/>
          <w:lang w:val="sq-AL"/>
        </w:rPr>
        <w:t>..............</w:t>
      </w:r>
      <w:r w:rsidR="003C2FB9">
        <w:rPr>
          <w:rFonts w:ascii="Bookman Old Style" w:hAnsi="Bookman Old Style" w:cs="Arial"/>
          <w:lang w:val="sq-AL"/>
        </w:rPr>
        <w:t>.75</w:t>
      </w:r>
    </w:p>
    <w:p w:rsidR="00701E81" w:rsidRDefault="00723CAB" w:rsidP="00701E81">
      <w:pPr>
        <w:rPr>
          <w:rFonts w:ascii="Bookman Old Style" w:hAnsi="Bookman Old Style" w:cs="Arial"/>
          <w:lang w:val="sq-AL"/>
        </w:rPr>
      </w:pPr>
      <w:r>
        <w:rPr>
          <w:rFonts w:ascii="Bookman Old Style" w:hAnsi="Bookman Old Style" w:cs="Arial"/>
          <w:lang w:val="sq-AL"/>
        </w:rPr>
        <w:t xml:space="preserve">         7</w:t>
      </w:r>
      <w:r w:rsidR="00701E81" w:rsidRPr="000871C1">
        <w:rPr>
          <w:rFonts w:ascii="Bookman Old Style" w:hAnsi="Bookman Old Style" w:cs="Arial"/>
          <w:lang w:val="sq-AL"/>
        </w:rPr>
        <w:t>.3. Botimet dhe puna kërkimore</w:t>
      </w:r>
      <w:r w:rsidRPr="00723CAB">
        <w:rPr>
          <w:rFonts w:ascii="Bookman Old Style" w:hAnsi="Bookman Old Style" w:cs="Arial"/>
          <w:lang w:val="sq-AL"/>
        </w:rPr>
        <w:t>- shkencore</w:t>
      </w:r>
      <w:r w:rsidR="00701E81" w:rsidRPr="000871C1">
        <w:rPr>
          <w:rFonts w:ascii="Bookman Old Style" w:hAnsi="Bookman Old Style" w:cs="Arial"/>
          <w:lang w:val="sq-AL"/>
        </w:rPr>
        <w:t>............................</w:t>
      </w:r>
      <w:r w:rsidR="008819BF">
        <w:rPr>
          <w:rFonts w:ascii="Bookman Old Style" w:hAnsi="Bookman Old Style" w:cs="Arial"/>
          <w:lang w:val="sq-AL"/>
        </w:rPr>
        <w:t>............................</w:t>
      </w:r>
      <w:r w:rsidR="00701E81" w:rsidRPr="000871C1">
        <w:rPr>
          <w:rFonts w:ascii="Bookman Old Style" w:hAnsi="Bookman Old Style" w:cs="Arial"/>
          <w:lang w:val="sq-AL"/>
        </w:rPr>
        <w:t>.........</w:t>
      </w:r>
      <w:r w:rsidR="003C2FB9">
        <w:rPr>
          <w:rFonts w:ascii="Bookman Old Style" w:hAnsi="Bookman Old Style" w:cs="Arial"/>
          <w:lang w:val="sq-AL"/>
        </w:rPr>
        <w:t>78</w:t>
      </w:r>
    </w:p>
    <w:p w:rsidR="00C9722E" w:rsidRPr="00C9722E" w:rsidRDefault="00E31EB3" w:rsidP="00E31EB3">
      <w:pPr>
        <w:rPr>
          <w:rFonts w:ascii="Bookman Old Style" w:hAnsi="Bookman Old Style" w:cs="Arial"/>
          <w:b/>
          <w:lang w:val="sq-AL"/>
        </w:rPr>
      </w:pPr>
      <w:r>
        <w:rPr>
          <w:rFonts w:ascii="Bookman Old Style" w:hAnsi="Bookman Old Style" w:cs="Arial"/>
          <w:b/>
          <w:lang w:val="sq-AL"/>
        </w:rPr>
        <w:t xml:space="preserve">        </w:t>
      </w:r>
      <w:r w:rsidR="00C9722E">
        <w:rPr>
          <w:rFonts w:ascii="Bookman Old Style" w:hAnsi="Bookman Old Style" w:cs="Arial"/>
          <w:b/>
          <w:lang w:val="sq-AL"/>
        </w:rPr>
        <w:t xml:space="preserve">ANEKS III </w:t>
      </w:r>
      <w:r w:rsidR="00C9722E" w:rsidRPr="00C9722E">
        <w:rPr>
          <w:rFonts w:ascii="Bookman Old Style" w:hAnsi="Bookman Old Style" w:cs="Arial"/>
          <w:b/>
          <w:lang w:val="sq-AL"/>
        </w:rPr>
        <w:t>TEMATIKAT E PROGRAMIT TË TRAJNIMIT VAZHDUES 2012 -2015</w:t>
      </w:r>
      <w:r>
        <w:rPr>
          <w:rFonts w:ascii="Bookman Old Style" w:hAnsi="Bookman Old Style" w:cs="Arial"/>
          <w:b/>
          <w:lang w:val="sq-AL"/>
        </w:rPr>
        <w:t xml:space="preserve"> </w:t>
      </w:r>
      <w:r w:rsidR="00C9722E" w:rsidRPr="00C9722E">
        <w:rPr>
          <w:rFonts w:ascii="Bookman Old Style" w:hAnsi="Bookman Old Style" w:cs="Arial"/>
          <w:b/>
          <w:lang w:val="sq-AL"/>
        </w:rPr>
        <w:t xml:space="preserve">TË </w:t>
      </w:r>
      <w:r>
        <w:rPr>
          <w:rFonts w:ascii="Bookman Old Style" w:hAnsi="Bookman Old Style" w:cs="Arial"/>
          <w:b/>
          <w:lang w:val="sq-AL"/>
        </w:rPr>
        <w:t xml:space="preserve"> </w:t>
      </w:r>
      <w:r w:rsidR="00C9722E" w:rsidRPr="00C9722E">
        <w:rPr>
          <w:rFonts w:ascii="Bookman Old Style" w:hAnsi="Bookman Old Style" w:cs="Arial"/>
          <w:b/>
          <w:lang w:val="sq-AL"/>
        </w:rPr>
        <w:t>MIRATUARA NGA KËSHILLI DREJTUES I SHKOLLËS SË MAGJISTRATURËS  (Sipas ligjit për SHM janë respektuar të gjitha hall</w:t>
      </w:r>
      <w:r>
        <w:rPr>
          <w:rFonts w:ascii="Bookman Old Style" w:hAnsi="Bookman Old Style" w:cs="Arial"/>
          <w:b/>
          <w:lang w:val="sq-AL"/>
        </w:rPr>
        <w:t>kat e proçesit të vlerësimit të nevojave).........</w:t>
      </w:r>
      <w:r w:rsidR="00C9722E">
        <w:rPr>
          <w:rFonts w:ascii="Bookman Old Style" w:hAnsi="Bookman Old Style" w:cs="Arial"/>
          <w:b/>
          <w:lang w:val="sq-AL"/>
        </w:rPr>
        <w:t>.....</w:t>
      </w:r>
      <w:r w:rsidR="003C2FB9">
        <w:rPr>
          <w:rFonts w:ascii="Bookman Old Style" w:hAnsi="Bookman Old Style" w:cs="Arial"/>
          <w:b/>
          <w:lang w:val="sq-AL"/>
        </w:rPr>
        <w:t>80</w:t>
      </w:r>
    </w:p>
    <w:p w:rsidR="00701E81" w:rsidRPr="000871C1" w:rsidRDefault="00701E81" w:rsidP="00723CAB">
      <w:pPr>
        <w:rPr>
          <w:rFonts w:ascii="Bookman Old Style" w:hAnsi="Bookman Old Style" w:cs="Arial"/>
          <w:lang w:val="sq-AL"/>
        </w:rPr>
      </w:pPr>
    </w:p>
    <w:p w:rsidR="00701E81" w:rsidRPr="00701E81" w:rsidRDefault="00701E81" w:rsidP="00701E81">
      <w:pPr>
        <w:spacing w:after="0" w:line="240" w:lineRule="auto"/>
        <w:jc w:val="right"/>
        <w:rPr>
          <w:sz w:val="28"/>
          <w:szCs w:val="28"/>
        </w:rPr>
      </w:pPr>
      <w:r w:rsidRPr="000871C1">
        <w:rPr>
          <w:rFonts w:ascii="Bookman Old Style" w:hAnsi="Bookman Old Style" w:cs="Arial"/>
          <w:lang w:val="sq-AL"/>
        </w:rPr>
        <w:br w:type="page"/>
      </w:r>
    </w:p>
    <w:p w:rsidR="007B6F4C" w:rsidRDefault="007B6F4C" w:rsidP="005E72AD">
      <w:pPr>
        <w:spacing w:after="0"/>
        <w:jc w:val="center"/>
      </w:pPr>
    </w:p>
    <w:p w:rsidR="00C12D0B" w:rsidRPr="00C12D0B" w:rsidRDefault="00C12D0B" w:rsidP="00C12D0B">
      <w:pPr>
        <w:rPr>
          <w:sz w:val="32"/>
          <w:szCs w:val="32"/>
        </w:rPr>
      </w:pPr>
      <w:r w:rsidRPr="00D754B9">
        <w:rPr>
          <w:rFonts w:ascii="Bookman Old Style" w:hAnsi="Bookman Old Style"/>
          <w:b/>
          <w:color w:val="533466" w:themeColor="accent6" w:themeShade="80"/>
          <w:sz w:val="32"/>
          <w:szCs w:val="32"/>
          <w:u w:color="333399"/>
        </w:rPr>
        <w:t>1.</w:t>
      </w:r>
      <w:r w:rsidRPr="00C12D0B">
        <w:rPr>
          <w:rFonts w:ascii="Bookman Old Style" w:hAnsi="Bookman Old Style"/>
          <w:b/>
          <w:color w:val="533466" w:themeColor="accent6" w:themeShade="80"/>
          <w:sz w:val="32"/>
          <w:szCs w:val="32"/>
          <w:u w:color="333399"/>
        </w:rPr>
        <w:t>TRAJNIMI FILLESTAR</w:t>
      </w:r>
    </w:p>
    <w:p w:rsidR="00C12D0B" w:rsidRPr="00C12D0B" w:rsidRDefault="00C12D0B" w:rsidP="00C12D0B">
      <w:pPr>
        <w:jc w:val="both"/>
        <w:rPr>
          <w:rFonts w:ascii="Bookman Old Style" w:hAnsi="Bookman Old Style"/>
          <w:b/>
          <w:bCs/>
          <w:color w:val="372971" w:themeColor="accent5" w:themeShade="80"/>
          <w:sz w:val="24"/>
          <w:szCs w:val="24"/>
        </w:rPr>
      </w:pPr>
      <w:r w:rsidRPr="005D459F">
        <w:rPr>
          <w:rFonts w:ascii="Bookman Old Style" w:hAnsi="Bookman Old Style"/>
          <w:b/>
          <w:bCs/>
          <w:color w:val="372971" w:themeColor="accent5" w:themeShade="80"/>
          <w:sz w:val="24"/>
          <w:szCs w:val="24"/>
        </w:rPr>
        <w:t>1.1.</w:t>
      </w:r>
      <w:r w:rsidRPr="00C12D0B">
        <w:rPr>
          <w:rFonts w:ascii="Bookman Old Style" w:hAnsi="Bookman Old Style"/>
          <w:b/>
          <w:bCs/>
          <w:color w:val="372971" w:themeColor="accent5" w:themeShade="80"/>
          <w:sz w:val="24"/>
          <w:szCs w:val="24"/>
        </w:rPr>
        <w:t>Realizimi i Programit Mësimor të Trajnimit Fillestar për vitin akademik 2015-2016</w:t>
      </w:r>
    </w:p>
    <w:p w:rsidR="00C12D0B" w:rsidRPr="00C12D0B" w:rsidRDefault="00C12D0B" w:rsidP="003C4BF1">
      <w:pPr>
        <w:numPr>
          <w:ilvl w:val="2"/>
          <w:numId w:val="2"/>
        </w:numPr>
        <w:spacing w:after="0" w:line="240" w:lineRule="auto"/>
        <w:jc w:val="both"/>
        <w:rPr>
          <w:rFonts w:ascii="Bookman Old Style" w:hAnsi="Bookman Old Style"/>
          <w:b/>
          <w:color w:val="7030A0"/>
          <w:sz w:val="24"/>
          <w:szCs w:val="24"/>
        </w:rPr>
      </w:pPr>
      <w:r w:rsidRPr="00C12D0B">
        <w:rPr>
          <w:rFonts w:ascii="Bookman Old Style" w:hAnsi="Bookman Old Style"/>
          <w:b/>
          <w:color w:val="7030A0"/>
          <w:sz w:val="24"/>
          <w:szCs w:val="24"/>
        </w:rPr>
        <w:t>Mbi provimin e pranimit në Shkollën e Magjistraturës për vitin akademik 2015-2016</w:t>
      </w:r>
    </w:p>
    <w:p w:rsidR="00C12D0B" w:rsidRDefault="00C12D0B" w:rsidP="00C12D0B">
      <w:pPr>
        <w:spacing w:after="0" w:line="240" w:lineRule="auto"/>
        <w:jc w:val="both"/>
        <w:rPr>
          <w:rFonts w:ascii="Bookman Old Style" w:hAnsi="Bookman Old Style"/>
          <w:b/>
          <w:color w:val="943634"/>
          <w:sz w:val="28"/>
          <w:szCs w:val="28"/>
        </w:rPr>
      </w:pPr>
    </w:p>
    <w:p w:rsidR="00C12D0B" w:rsidRPr="00AB4240" w:rsidRDefault="00C12D0B" w:rsidP="00C12D0B">
      <w:pPr>
        <w:jc w:val="both"/>
        <w:rPr>
          <w:rFonts w:ascii="Bookman Old Style" w:hAnsi="Bookman Old Style"/>
        </w:rPr>
      </w:pPr>
      <w:r w:rsidRPr="00AB4240">
        <w:rPr>
          <w:rFonts w:ascii="Bookman Old Style" w:hAnsi="Bookman Old Style"/>
        </w:rPr>
        <w:t xml:space="preserve">Në zbatim të ligjit </w:t>
      </w:r>
      <w:r w:rsidRPr="00AB4240">
        <w:rPr>
          <w:rFonts w:ascii="Bookman Old Style" w:hAnsi="Bookman Old Style" w:cs="Times New Roman"/>
          <w:lang w:val="en-GB"/>
        </w:rPr>
        <w:t xml:space="preserve">nr 8136, datë 31.07.1996 “Për Shkollën e Magjistraturës së Republikës së Shqipërisë”, (të ndryshuar), si dhe </w:t>
      </w:r>
      <w:r w:rsidRPr="00AB4240">
        <w:rPr>
          <w:rFonts w:ascii="Bookman Old Style" w:hAnsi="Bookman Old Style"/>
        </w:rPr>
        <w:t xml:space="preserve">shkresës së ardhur nga KLD me nr.1132/3 prot. datë 11.05.2015 ku me vendimin nr.38 datë 29.04.2015 të KLD u shpallën vakant 10 vende profili gjyqtar, si dhe shkresës së ardhur nga Prokuroria e Përgjithshme me nr.924/3 prot. datë 14.05.2015, “Mbi shpalljen e vendeve vakante”, </w:t>
      </w:r>
      <w:r>
        <w:rPr>
          <w:rFonts w:ascii="Bookman Old Style" w:hAnsi="Bookman Old Style"/>
        </w:rPr>
        <w:t xml:space="preserve">sipas së cilës </w:t>
      </w:r>
      <w:r w:rsidRPr="00AB4240">
        <w:rPr>
          <w:rFonts w:ascii="Bookman Old Style" w:hAnsi="Bookman Old Style"/>
        </w:rPr>
        <w:t xml:space="preserve">u shpallën vakant 6 vende profili prokuror, u zhvillua provimi i pranimit në Shkollën e Magjistraturës, për vitin akademik 2015-2016. </w:t>
      </w:r>
    </w:p>
    <w:p w:rsidR="00C12D0B" w:rsidRPr="00F02DA5" w:rsidRDefault="00C12D0B" w:rsidP="00C12D0B">
      <w:pPr>
        <w:ind w:left="90"/>
        <w:jc w:val="both"/>
        <w:rPr>
          <w:rFonts w:ascii="Bookman Old Style" w:hAnsi="Bookman Old Style"/>
        </w:rPr>
      </w:pPr>
      <w:r w:rsidRPr="00F02DA5">
        <w:rPr>
          <w:rFonts w:ascii="Bookman Old Style" w:hAnsi="Bookman Old Style"/>
        </w:rPr>
        <w:t xml:space="preserve">Menjëherë pas shpalljes së </w:t>
      </w:r>
      <w:r w:rsidRPr="00F02DA5">
        <w:rPr>
          <w:rFonts w:ascii="Bookman Old Style" w:hAnsi="Bookman Old Style"/>
          <w:b/>
        </w:rPr>
        <w:t>16 vendeve vakante</w:t>
      </w:r>
      <w:r w:rsidRPr="00F02DA5">
        <w:rPr>
          <w:rFonts w:ascii="Bookman Old Style" w:hAnsi="Bookman Old Style"/>
        </w:rPr>
        <w:t xml:space="preserve">, njoftimi për shpalljen e datës së provimit, kriteret e pranimit dhe periudhën e regjistrimit u bë publik në dy gazeta me tirazh të  madh dhe në faqen e Internetit të Shkollës së Magjistraturës </w:t>
      </w:r>
      <w:hyperlink r:id="rId13" w:history="1">
        <w:r w:rsidRPr="001247C0">
          <w:rPr>
            <w:rStyle w:val="Hyperlink"/>
            <w:rFonts w:ascii="Bookman Old Style" w:hAnsi="Bookman Old Style"/>
            <w:b/>
            <w:color w:val="7D4D98" w:themeColor="accent6" w:themeShade="BF"/>
          </w:rPr>
          <w:t>www.magjistratura.edu.al</w:t>
        </w:r>
      </w:hyperlink>
      <w:r w:rsidRPr="001247C0">
        <w:rPr>
          <w:rFonts w:ascii="Bookman Old Style" w:hAnsi="Bookman Old Style"/>
          <w:b/>
          <w:color w:val="7D4D98" w:themeColor="accent6" w:themeShade="BF"/>
        </w:rPr>
        <w:t>.</w:t>
      </w:r>
      <w:bookmarkStart w:id="4" w:name="_GoBack"/>
      <w:bookmarkEnd w:id="4"/>
    </w:p>
    <w:p w:rsidR="00C12D0B" w:rsidRPr="00F02DA5" w:rsidRDefault="00C12D0B" w:rsidP="00C12D0B">
      <w:pPr>
        <w:jc w:val="both"/>
        <w:rPr>
          <w:rFonts w:ascii="Bookman Old Style" w:hAnsi="Bookman Old Style"/>
        </w:rPr>
      </w:pPr>
      <w:r w:rsidRPr="00F02DA5">
        <w:rPr>
          <w:rFonts w:ascii="Bookman Old Style" w:hAnsi="Bookman Old Style"/>
        </w:rPr>
        <w:t>Gjatë periudhës së regjistrimit 15</w:t>
      </w:r>
      <w:r w:rsidRPr="00F02DA5">
        <w:rPr>
          <w:rFonts w:ascii="Bookman Old Style" w:hAnsi="Bookman Old Style"/>
          <w:lang w:eastAsia="ja-JP"/>
        </w:rPr>
        <w:t xml:space="preserve">.07.2015 </w:t>
      </w:r>
      <w:r w:rsidRPr="00F02DA5">
        <w:rPr>
          <w:rFonts w:ascii="Bookman Old Style" w:hAnsi="Bookman Old Style"/>
        </w:rPr>
        <w:t>- 14.08.2015 u regjistruan 120 konkurentë dhe morën pjesë në provimin e pranimit 119 kandidatë të diplomuar në Universitet e Drejtësisë publike dhe private të akredituara, brenda Shqipërisë dhe në Universitet e tjera jashtë saj, pas ekuivalentimit të</w:t>
      </w:r>
      <w:r>
        <w:rPr>
          <w:rFonts w:ascii="Bookman Old Style" w:hAnsi="Bookman Old Style"/>
        </w:rPr>
        <w:t xml:space="preserve"> diplomave të</w:t>
      </w:r>
      <w:r w:rsidRPr="00F02DA5">
        <w:rPr>
          <w:rFonts w:ascii="Bookman Old Style" w:hAnsi="Bookman Old Style"/>
        </w:rPr>
        <w:t xml:space="preserve"> tyre nga Ministria e Arsimit.</w:t>
      </w:r>
    </w:p>
    <w:p w:rsidR="00C12D0B" w:rsidRPr="00F02DA5" w:rsidRDefault="00C12D0B" w:rsidP="00C12D0B">
      <w:pPr>
        <w:jc w:val="both"/>
        <w:rPr>
          <w:rFonts w:ascii="Bookman Old Style" w:hAnsi="Bookman Old Style" w:cs="Times New Roman"/>
          <w:lang w:val="en-GB"/>
        </w:rPr>
      </w:pPr>
      <w:r w:rsidRPr="00F02DA5">
        <w:rPr>
          <w:rFonts w:ascii="Bookman Old Style" w:hAnsi="Bookman Old Style"/>
        </w:rPr>
        <w:t>Provimi i pranimit u zhvillua në datat: 01.09.2015 faza e parë dhe 17.09.2015 faza e dytë, në sallën e “Qendrës së Formimit Policor”, Tiranë.</w:t>
      </w:r>
      <w:r w:rsidRPr="00F02DA5">
        <w:rPr>
          <w:rFonts w:ascii="Bookman Old Style" w:hAnsi="Bookman Old Style"/>
        </w:rPr>
        <w:tab/>
      </w:r>
    </w:p>
    <w:p w:rsidR="00C12D0B" w:rsidRPr="00F02DA5" w:rsidRDefault="00C12D0B" w:rsidP="00C12D0B">
      <w:pPr>
        <w:jc w:val="both"/>
        <w:rPr>
          <w:rFonts w:ascii="Bookman Old Style" w:hAnsi="Bookman Old Style"/>
        </w:rPr>
      </w:pPr>
      <w:r w:rsidRPr="00F02DA5">
        <w:rPr>
          <w:rFonts w:ascii="Bookman Old Style" w:hAnsi="Bookman Old Style"/>
          <w:i/>
          <w:u w:val="single"/>
        </w:rPr>
        <w:t>Faza e parë</w:t>
      </w:r>
      <w:r w:rsidRPr="00F02DA5">
        <w:rPr>
          <w:rFonts w:ascii="Bookman Old Style" w:hAnsi="Bookman Old Style"/>
          <w:i/>
        </w:rPr>
        <w:t xml:space="preserve"> me natyrë kualifikuese dhe me vlerësim elektronik, </w:t>
      </w:r>
      <w:r w:rsidRPr="00F02DA5">
        <w:rPr>
          <w:rFonts w:ascii="Bookman Old Style" w:hAnsi="Bookman Old Style"/>
        </w:rPr>
        <w:t>zgjati 2.5 orë dhe morën pjesë 119 kandidatë. Provimi me shkrim i organizuar në formë pyetjesh (100 pyetje) me alternativa ku përgjigjet jepen në mënyrë skematike pa fjalë sipas teknikës së skan-tronit u vlerësua në përfundim të provimit në mënyrë elektronike nga pajisja skan-tron. Fitues u shpallën 72 kandidatë që morën jo më pak se 60 % të pikëve në total</w:t>
      </w:r>
      <w:r>
        <w:rPr>
          <w:rFonts w:ascii="Bookman Old Style" w:hAnsi="Bookman Old Style"/>
        </w:rPr>
        <w:t>.</w:t>
      </w:r>
    </w:p>
    <w:p w:rsidR="00C12D0B" w:rsidRPr="00AB4240" w:rsidRDefault="00C12D0B" w:rsidP="00C12D0B">
      <w:pPr>
        <w:jc w:val="both"/>
        <w:rPr>
          <w:rFonts w:ascii="Bookman Old Style" w:hAnsi="Bookman Old Style"/>
        </w:rPr>
      </w:pPr>
      <w:r w:rsidRPr="00AB4240">
        <w:rPr>
          <w:rFonts w:ascii="Bookman Old Style" w:hAnsi="Bookman Old Style"/>
        </w:rPr>
        <w:t>Me ndryshimin e nenit 17 të Ligjit ekzistues, mbi mënyrën e organizimit të konkursit për pranim në programin e formimit fillestar të kandidatëve për magjistratë, për herë të parë kandidatët për magjistratë ju nënshtruan testimit të shëndetit mendor dhe psikologjik në periudhën midis fazës së parë dhe të dytë të provimit të pranimit.</w:t>
      </w:r>
    </w:p>
    <w:p w:rsidR="00C12D0B" w:rsidRPr="00F02DA5" w:rsidRDefault="00C12D0B" w:rsidP="00C12D0B">
      <w:pPr>
        <w:jc w:val="both"/>
        <w:rPr>
          <w:rFonts w:ascii="Bookman Old Style" w:hAnsi="Bookman Old Style"/>
        </w:rPr>
      </w:pPr>
      <w:r w:rsidRPr="00F02DA5">
        <w:rPr>
          <w:rFonts w:ascii="Bookman Old Style" w:hAnsi="Bookman Old Style"/>
        </w:rPr>
        <w:t xml:space="preserve">Kandidatët e kualifikuar nga faza e parë ju nënshtruan Testimit të </w:t>
      </w:r>
      <w:r w:rsidRPr="00F02DA5">
        <w:rPr>
          <w:rFonts w:ascii="Bookman Old Style" w:hAnsi="Bookman Old Style"/>
          <w:i/>
        </w:rPr>
        <w:t>Shëndetit Mendor dhe Psikologjik</w:t>
      </w:r>
      <w:r w:rsidRPr="00F02DA5">
        <w:rPr>
          <w:rFonts w:ascii="Bookman Old Style" w:hAnsi="Bookman Old Style"/>
        </w:rPr>
        <w:t xml:space="preserve">, </w:t>
      </w:r>
    </w:p>
    <w:p w:rsidR="00C12D0B" w:rsidRPr="00F02DA5" w:rsidRDefault="00C12D0B" w:rsidP="00C12D0B">
      <w:pPr>
        <w:jc w:val="both"/>
        <w:rPr>
          <w:rFonts w:ascii="Bookman Old Style" w:hAnsi="Bookman Old Style"/>
        </w:rPr>
      </w:pPr>
      <w:r w:rsidRPr="00F02DA5">
        <w:rPr>
          <w:rFonts w:ascii="Bookman Old Style" w:hAnsi="Bookman Old Style"/>
        </w:rPr>
        <w:t xml:space="preserve">Me Vendimin nr.38 datë 1.09.2015 të Këshillit Drejtues të Shkollës së Magjistraturës, duke ju referuar dhe listës me emrat e psikologëve dhe psikiatërve të miratuar paraprakisht nga </w:t>
      </w:r>
      <w:r w:rsidRPr="00F02DA5">
        <w:rPr>
          <w:rFonts w:ascii="Bookman Old Style" w:hAnsi="Bookman Old Style"/>
        </w:rPr>
        <w:lastRenderedPageBreak/>
        <w:t xml:space="preserve">Ministria e Drejtësië, u caktua Komisioni i Testimit të </w:t>
      </w:r>
      <w:r w:rsidRPr="00F02DA5">
        <w:rPr>
          <w:rFonts w:ascii="Bookman Old Style" w:hAnsi="Bookman Old Style"/>
          <w:i/>
        </w:rPr>
        <w:t>Shëndetin Mendor dhe Psikologjik</w:t>
      </w:r>
      <w:r w:rsidRPr="00F02DA5">
        <w:rPr>
          <w:rFonts w:ascii="Bookman Old Style" w:hAnsi="Bookman Old Style"/>
        </w:rPr>
        <w:t xml:space="preserve"> i përbërë nga dy psikolog, dy psikiatër dhe një pedagog i brendshëm i Shkollës. </w:t>
      </w:r>
    </w:p>
    <w:p w:rsidR="00C12D0B" w:rsidRPr="00F02DA5" w:rsidRDefault="00C12D0B" w:rsidP="00C12D0B">
      <w:pPr>
        <w:jc w:val="both"/>
        <w:rPr>
          <w:rFonts w:ascii="Bookman Old Style" w:eastAsia="Times New Roman" w:hAnsi="Bookman Old Style" w:cs="Times New Roman"/>
        </w:rPr>
      </w:pPr>
      <w:r w:rsidRPr="00F02DA5">
        <w:rPr>
          <w:rFonts w:ascii="Bookman Old Style" w:hAnsi="Bookman Old Style"/>
        </w:rPr>
        <w:t>Ky testim u zhvillua nga</w:t>
      </w:r>
      <w:r w:rsidR="00593C54">
        <w:rPr>
          <w:rFonts w:ascii="Bookman Old Style" w:hAnsi="Bookman Old Style"/>
        </w:rPr>
        <w:t xml:space="preserve"> data 03.09.2015 – 10.09.2015, </w:t>
      </w:r>
      <w:r w:rsidRPr="00F02DA5">
        <w:rPr>
          <w:rFonts w:ascii="Bookman Old Style" w:hAnsi="Bookman Old Style"/>
        </w:rPr>
        <w:t xml:space="preserve">gjatë të cilit kanidatët për magjistratë u testuan mbi aftësitë </w:t>
      </w:r>
      <w:r w:rsidRPr="00F02DA5">
        <w:rPr>
          <w:rFonts w:ascii="Bookman Old Style" w:eastAsia="Times New Roman" w:hAnsi="Bookman Old Style" w:cs="Times New Roman"/>
        </w:rPr>
        <w:t>psikologjike të tyre, mbi vlerësimin e përshtatshmërisë së tyre me profesionin dhe jo mbi gjendjen e tyre shëndetësore.</w:t>
      </w:r>
    </w:p>
    <w:p w:rsidR="00C12D0B" w:rsidRPr="00F02DA5" w:rsidRDefault="00C12D0B" w:rsidP="00C12D0B">
      <w:pPr>
        <w:jc w:val="both"/>
        <w:rPr>
          <w:rFonts w:ascii="Bookman Old Style" w:eastAsia="Times New Roman" w:hAnsi="Bookman Old Style" w:cs="Times New Roman"/>
        </w:rPr>
      </w:pPr>
      <w:r w:rsidRPr="00F02DA5">
        <w:rPr>
          <w:rFonts w:ascii="Bookman Old Style" w:eastAsia="Times New Roman" w:hAnsi="Bookman Old Style" w:cs="Times New Roman"/>
        </w:rPr>
        <w:t>Ky testim u zhvillua me shkrim dhe me gojë, nëpërmjet vlerësimit të funksionimit në grup, dhe vlerësimit të një interviste individuale.</w:t>
      </w:r>
    </w:p>
    <w:p w:rsidR="00C12D0B" w:rsidRPr="00AB4240" w:rsidRDefault="00C12D0B" w:rsidP="00C12D0B">
      <w:pPr>
        <w:jc w:val="both"/>
        <w:rPr>
          <w:rFonts w:ascii="Bookman Old Style" w:hAnsi="Bookman Old Style"/>
        </w:rPr>
      </w:pPr>
      <w:r w:rsidRPr="00AB4240">
        <w:rPr>
          <w:rFonts w:ascii="Bookman Old Style" w:hAnsi="Bookman Old Style"/>
        </w:rPr>
        <w:t>Në fund të 72 kandidatët kaluan në Fazën e d</w:t>
      </w:r>
      <w:r w:rsidR="00593C54">
        <w:rPr>
          <w:rFonts w:ascii="Bookman Old Style" w:hAnsi="Bookman Old Style"/>
        </w:rPr>
        <w:t xml:space="preserve">ytë të konkurrimit të testimit </w:t>
      </w:r>
      <w:r w:rsidRPr="00AB4240">
        <w:rPr>
          <w:rFonts w:ascii="Bookman Old Style" w:hAnsi="Bookman Old Style"/>
        </w:rPr>
        <w:t>profesional duke u quajtur të aftë për të vazhduar konkurrimin.</w:t>
      </w:r>
    </w:p>
    <w:p w:rsidR="00C12D0B" w:rsidRPr="00F02DA5" w:rsidRDefault="00C12D0B" w:rsidP="00C12D0B">
      <w:pPr>
        <w:jc w:val="both"/>
        <w:rPr>
          <w:rFonts w:ascii="Bookman Old Style" w:hAnsi="Bookman Old Style"/>
        </w:rPr>
      </w:pPr>
      <w:r w:rsidRPr="00F02DA5">
        <w:rPr>
          <w:rFonts w:ascii="Bookman Old Style" w:hAnsi="Bookman Old Style"/>
        </w:rPr>
        <w:t xml:space="preserve">Faza e dytë e Testit Profesional (pjesa teorike nga fushat e së drejtës të parashikuara në programin e provimit të pranimit dhe pjesa praktike me dy raste nga praktika gjyqësore) zgjati 4 orë dhe morën pjesë të 72 kandidatët që kaluan Testimin e </w:t>
      </w:r>
      <w:r w:rsidRPr="00F02DA5">
        <w:rPr>
          <w:rFonts w:ascii="Bookman Old Style" w:hAnsi="Bookman Old Style"/>
          <w:i/>
        </w:rPr>
        <w:t>Shëndetin Mendor dhe Psikologjik</w:t>
      </w:r>
      <w:r w:rsidRPr="00F02DA5">
        <w:rPr>
          <w:rFonts w:ascii="Bookman Old Style" w:hAnsi="Bookman Old Style"/>
        </w:rPr>
        <w:t xml:space="preserve">. </w:t>
      </w:r>
    </w:p>
    <w:p w:rsidR="00C12D0B" w:rsidRPr="00F02DA5" w:rsidRDefault="00C12D0B" w:rsidP="00C12D0B">
      <w:pPr>
        <w:jc w:val="both"/>
        <w:rPr>
          <w:rFonts w:ascii="Bookman Old Style" w:hAnsi="Bookman Old Style"/>
        </w:rPr>
      </w:pPr>
      <w:r w:rsidRPr="00F02DA5">
        <w:rPr>
          <w:rFonts w:ascii="Bookman Old Style" w:hAnsi="Bookman Old Style"/>
        </w:rPr>
        <w:t>Pyetjet e provimit të t</w:t>
      </w:r>
      <w:r w:rsidR="00593C54">
        <w:rPr>
          <w:rFonts w:ascii="Bookman Old Style" w:hAnsi="Bookman Old Style"/>
        </w:rPr>
        <w:t xml:space="preserve">estit të përgjithshëm ishin të </w:t>
      </w:r>
      <w:r w:rsidRPr="00F02DA5">
        <w:rPr>
          <w:rFonts w:ascii="Bookman Old Style" w:hAnsi="Bookman Old Style"/>
        </w:rPr>
        <w:t xml:space="preserve">njëjta për të gjithë konkuruesit dhe u caktuan me short të hedhur nga një ose disa konkurues, për secilin grup pyetjesh të ndara sipas  fushave. </w:t>
      </w:r>
    </w:p>
    <w:p w:rsidR="00C12D0B" w:rsidRPr="00F02DA5" w:rsidRDefault="00C12D0B" w:rsidP="00C12D0B">
      <w:pPr>
        <w:pStyle w:val="BodyText2"/>
        <w:spacing w:after="0" w:line="240" w:lineRule="auto"/>
        <w:jc w:val="both"/>
        <w:rPr>
          <w:rFonts w:ascii="Bookman Old Style" w:hAnsi="Bookman Old Style"/>
          <w:sz w:val="22"/>
          <w:szCs w:val="22"/>
        </w:rPr>
      </w:pPr>
      <w:r w:rsidRPr="00F02DA5">
        <w:rPr>
          <w:rFonts w:ascii="Bookman Old Style" w:hAnsi="Bookman Old Style"/>
          <w:sz w:val="22"/>
          <w:szCs w:val="22"/>
        </w:rPr>
        <w:t xml:space="preserve">Me mbarimin e fazës së dytë të konkursit, në bashkëpunim me monitoruesit ndërkombëtare u realizua faza e sekretimit të zarfave të mëdhenj dhe të vegjel që mbanim emrin e kandidatëve të mbyllur dhe vulosur në prani të tyre. Kutitë me zarfat e sekretuar u dërguan pranë zyrave të OSBE. </w:t>
      </w:r>
    </w:p>
    <w:p w:rsidR="00C12D0B" w:rsidRPr="00F02DA5" w:rsidRDefault="00C12D0B" w:rsidP="00C12D0B">
      <w:pPr>
        <w:pStyle w:val="BodyText2"/>
        <w:spacing w:after="0" w:line="240" w:lineRule="auto"/>
        <w:jc w:val="both"/>
        <w:rPr>
          <w:rFonts w:ascii="Bookman Old Style" w:hAnsi="Bookman Old Style"/>
          <w:sz w:val="22"/>
          <w:szCs w:val="22"/>
        </w:rPr>
      </w:pPr>
    </w:p>
    <w:p w:rsidR="00C12D0B" w:rsidRPr="00F02DA5" w:rsidRDefault="00C12D0B" w:rsidP="00C12D0B">
      <w:pPr>
        <w:pStyle w:val="BodyText2"/>
        <w:spacing w:after="0" w:line="240" w:lineRule="auto"/>
        <w:jc w:val="both"/>
        <w:rPr>
          <w:rFonts w:ascii="Bookman Old Style" w:hAnsi="Bookman Old Style"/>
          <w:sz w:val="22"/>
          <w:szCs w:val="22"/>
        </w:rPr>
      </w:pPr>
      <w:r w:rsidRPr="00F02DA5">
        <w:rPr>
          <w:rFonts w:ascii="Bookman Old Style" w:hAnsi="Bookman Old Style"/>
          <w:sz w:val="22"/>
          <w:szCs w:val="22"/>
        </w:rPr>
        <w:t>Po atë ditë, me Vendimin nr.42, datë 17.09.2016 u caktua Komisioni i Korigjimit të Provimit. Kutitë me zarfat e medhenj me fletët e provimit u transportuan çdo ditë në mëngjes ne ambjentet e Shkollës së Magjistraturës dhe u dërguan përsëri atje në fund të ditës, deri në përfundim të  korrigjimit të çdo flete provimi.</w:t>
      </w:r>
    </w:p>
    <w:p w:rsidR="00C12D0B" w:rsidRPr="00F02DA5" w:rsidRDefault="00C12D0B" w:rsidP="00C12D0B">
      <w:pPr>
        <w:pStyle w:val="BodyText2"/>
        <w:spacing w:after="0" w:line="240" w:lineRule="auto"/>
        <w:jc w:val="both"/>
        <w:rPr>
          <w:rFonts w:ascii="Bookman Old Style" w:hAnsi="Bookman Old Style"/>
          <w:sz w:val="22"/>
          <w:szCs w:val="22"/>
        </w:rPr>
      </w:pPr>
    </w:p>
    <w:p w:rsidR="00C12D0B" w:rsidRPr="00F02DA5" w:rsidRDefault="00C12D0B" w:rsidP="00C12D0B">
      <w:pPr>
        <w:pStyle w:val="BodyText2"/>
        <w:spacing w:after="0" w:line="240" w:lineRule="auto"/>
        <w:jc w:val="both"/>
        <w:rPr>
          <w:rFonts w:ascii="Bookman Old Style" w:hAnsi="Bookman Old Style"/>
          <w:sz w:val="22"/>
          <w:szCs w:val="22"/>
        </w:rPr>
      </w:pPr>
      <w:r w:rsidRPr="00F02DA5">
        <w:rPr>
          <w:rFonts w:ascii="Bookman Old Style" w:hAnsi="Bookman Old Style"/>
          <w:sz w:val="22"/>
          <w:szCs w:val="22"/>
        </w:rPr>
        <w:t xml:space="preserve">Çdo anëtar i komisionit dorëzoi vlerësimet me pikët për çdo numër sekretimi të pyetjes që korrigjoi. Shkolla bëri publike për kandidatët rezultatet e vlerësimit me pikë për çdo numër sekretimi. Korrigjimi u realizua në 5 ditë. </w:t>
      </w:r>
    </w:p>
    <w:p w:rsidR="00C12D0B" w:rsidRPr="00F02DA5" w:rsidRDefault="00C12D0B" w:rsidP="00C12D0B">
      <w:pPr>
        <w:pStyle w:val="BodyText2"/>
        <w:spacing w:after="0" w:line="240" w:lineRule="auto"/>
        <w:jc w:val="both"/>
        <w:rPr>
          <w:rFonts w:ascii="Bookman Old Style" w:hAnsi="Bookman Old Style"/>
          <w:sz w:val="22"/>
          <w:szCs w:val="22"/>
        </w:rPr>
      </w:pPr>
    </w:p>
    <w:p w:rsidR="00C12D0B" w:rsidRPr="00F02DA5" w:rsidRDefault="00C12D0B" w:rsidP="00C12D0B">
      <w:pPr>
        <w:pStyle w:val="BodyText2"/>
        <w:spacing w:after="0" w:line="240" w:lineRule="auto"/>
        <w:jc w:val="both"/>
        <w:rPr>
          <w:rFonts w:ascii="Bookman Old Style" w:hAnsi="Bookman Old Style"/>
          <w:sz w:val="22"/>
          <w:szCs w:val="22"/>
        </w:rPr>
      </w:pPr>
      <w:r w:rsidRPr="00F02DA5">
        <w:rPr>
          <w:rFonts w:ascii="Bookman Old Style" w:hAnsi="Bookman Old Style"/>
          <w:sz w:val="22"/>
          <w:szCs w:val="22"/>
        </w:rPr>
        <w:t>Pas daljes  së rezultateve sipas numrave të sekretimit, u njoftuan kandidatët konkurues që të paraqiteshin në Shkollë në një orar të caktuar, për të zhvilluar në mënyrë sa më transparente procedurën e përputhjes së numrave me emrat, për të mësuar renditjen e tyre sipas pikëve</w:t>
      </w:r>
      <w:r w:rsidRPr="00F02DA5">
        <w:rPr>
          <w:rFonts w:ascii="Bookman Old Style" w:hAnsi="Bookman Old Style"/>
          <w:b/>
          <w:sz w:val="22"/>
          <w:szCs w:val="22"/>
        </w:rPr>
        <w:t xml:space="preserve">. </w:t>
      </w:r>
      <w:r w:rsidRPr="00F02DA5">
        <w:rPr>
          <w:rFonts w:ascii="Bookman Old Style" w:hAnsi="Bookman Old Style"/>
          <w:sz w:val="22"/>
          <w:szCs w:val="22"/>
        </w:rPr>
        <w:t>Një përfaqësues i OSBE-sësolli në Shkollë, kutitë me zarfat e vegjël të emrave (që nuk kanë dalë asnjë herë nga dita e provimit nga selia e OSBE-së). Në këtë moment u zhvillua në prani të kandidatëve të provimit hyrës procedura e hapjes së zarfave të vegjël për të mësuar emrat e fituesve duke lexuar me zë të lartë emrat e pjeswmarrësve.</w:t>
      </w:r>
    </w:p>
    <w:p w:rsidR="00C12D0B" w:rsidRPr="00F02DA5" w:rsidRDefault="00C12D0B" w:rsidP="00C12D0B">
      <w:pPr>
        <w:pStyle w:val="BodyText2"/>
        <w:spacing w:after="0" w:line="240" w:lineRule="auto"/>
        <w:jc w:val="both"/>
        <w:rPr>
          <w:rFonts w:ascii="Bookman Old Style" w:hAnsi="Bookman Old Style"/>
          <w:sz w:val="22"/>
          <w:szCs w:val="22"/>
        </w:rPr>
      </w:pPr>
    </w:p>
    <w:p w:rsidR="00C12D0B" w:rsidRPr="00F02DA5" w:rsidRDefault="00C12D0B" w:rsidP="00C12D0B">
      <w:pPr>
        <w:pStyle w:val="BodyText2"/>
        <w:spacing w:after="0" w:line="240" w:lineRule="auto"/>
        <w:jc w:val="both"/>
        <w:rPr>
          <w:rFonts w:ascii="Bookman Old Style" w:hAnsi="Bookman Old Style"/>
          <w:sz w:val="22"/>
          <w:szCs w:val="22"/>
        </w:rPr>
      </w:pPr>
      <w:r w:rsidRPr="00F02DA5">
        <w:rPr>
          <w:rFonts w:ascii="Bookman Old Style" w:hAnsi="Bookman Old Style"/>
          <w:sz w:val="22"/>
          <w:szCs w:val="22"/>
        </w:rPr>
        <w:t xml:space="preserve">Radhitja e rezultateve përfundimtare sipas hierarkisë së pikëve, u shpall publikisht e afishuar në ambjentet e Shkollës, që në atë moment. Nga 72 kandidatë që konkuruan në këtë fazë, u shpallën fitues 16 kandidatë. </w:t>
      </w:r>
    </w:p>
    <w:p w:rsidR="00C12D0B" w:rsidRPr="00F02DA5" w:rsidRDefault="00C12D0B" w:rsidP="00C12D0B">
      <w:pPr>
        <w:pStyle w:val="BodyText2"/>
        <w:spacing w:after="0" w:line="240" w:lineRule="auto"/>
        <w:jc w:val="both"/>
        <w:rPr>
          <w:rFonts w:ascii="Bookman Old Style" w:hAnsi="Bookman Old Style"/>
          <w:sz w:val="22"/>
          <w:szCs w:val="22"/>
        </w:rPr>
      </w:pPr>
    </w:p>
    <w:p w:rsidR="00C12D0B" w:rsidRPr="00F02DA5" w:rsidRDefault="00C12D0B" w:rsidP="00C12D0B">
      <w:pPr>
        <w:pStyle w:val="BodyText2"/>
        <w:spacing w:after="0" w:line="240" w:lineRule="auto"/>
        <w:jc w:val="both"/>
        <w:rPr>
          <w:rFonts w:ascii="Bookman Old Style" w:hAnsi="Bookman Old Style"/>
          <w:sz w:val="22"/>
          <w:szCs w:val="22"/>
        </w:rPr>
      </w:pPr>
      <w:r w:rsidRPr="00F02DA5">
        <w:rPr>
          <w:rFonts w:ascii="Bookman Old Style" w:hAnsi="Bookman Old Style"/>
          <w:sz w:val="22"/>
          <w:szCs w:val="22"/>
        </w:rPr>
        <w:lastRenderedPageBreak/>
        <w:t xml:space="preserve">Me Vendimin nr. 46 datë 28.09.2015 të Këshillit Drejtues, u shpallën fitues 16 kandidatët (sipas profileve gjyqtar dhe prokuror) që fituan numrin më të madh të pikëve në rend zbritës, por jo më pak se 60 % të totalit të pikëve maksimale deri në plotësimin e numrit fitues të përcaktuar nga Këshilli i Lartë i Drejtësisë dhe Prokuroria e Përgjithshme. </w:t>
      </w:r>
    </w:p>
    <w:p w:rsidR="00C12D0B" w:rsidRPr="00F02DA5" w:rsidRDefault="00C12D0B" w:rsidP="00C12D0B">
      <w:pPr>
        <w:pStyle w:val="BodyText2"/>
        <w:spacing w:after="0" w:line="240" w:lineRule="auto"/>
        <w:jc w:val="both"/>
        <w:rPr>
          <w:rFonts w:ascii="Bookman Old Style" w:hAnsi="Bookman Old Style"/>
          <w:sz w:val="22"/>
          <w:szCs w:val="22"/>
        </w:rPr>
      </w:pPr>
    </w:p>
    <w:p w:rsidR="00C12D0B" w:rsidRPr="00F02DA5" w:rsidRDefault="00C12D0B" w:rsidP="00C12D0B">
      <w:pPr>
        <w:jc w:val="both"/>
        <w:rPr>
          <w:rFonts w:ascii="Bookman Old Style" w:hAnsi="Bookman Old Style"/>
        </w:rPr>
      </w:pPr>
      <w:r w:rsidRPr="00F02DA5">
        <w:rPr>
          <w:rFonts w:ascii="Bookman Old Style" w:hAnsi="Bookman Old Style"/>
        </w:rPr>
        <w:t xml:space="preserve">Gjatë vitit akademik 2015-2016, Shkolla e Magjistraturës realizoi Programin Mësimor të Trainimit Fillestar për vitin e parë dhe të tretë. </w:t>
      </w:r>
    </w:p>
    <w:p w:rsidR="00C12D0B" w:rsidRPr="00F02DA5" w:rsidRDefault="00C12D0B" w:rsidP="00C12D0B">
      <w:pPr>
        <w:jc w:val="both"/>
        <w:rPr>
          <w:rFonts w:ascii="Bookman Old Style" w:hAnsi="Bookman Old Style"/>
        </w:rPr>
      </w:pPr>
      <w:r w:rsidRPr="00F02DA5">
        <w:rPr>
          <w:rFonts w:ascii="Bookman Old Style" w:hAnsi="Bookman Old Style"/>
        </w:rPr>
        <w:t xml:space="preserve">Ky vit dëshmoi përsëri për vazhdimësinë e kësaj tradite pozitive të krijuar nga Shkolla e Magjistraturës në një stad më të lartë. Kjo mbetet edhe një nga objektivat e punës në Shkollë në vitet e ardhshme, duke synuar gjithmonë në konsolidimin e procesit të trajnimit fillestar, si një pjesë e rëndësishme e procesit të konsolidimit dhe të rritjes së qendrueshmërisë së vet shkollës, si një institucion bashkëkohor, që ndjek modelet e shkollave europiane homologe më të përparuara. </w:t>
      </w:r>
    </w:p>
    <w:p w:rsidR="00C12D0B" w:rsidRPr="0045659B" w:rsidRDefault="00C12D0B" w:rsidP="00C12D0B">
      <w:pPr>
        <w:pStyle w:val="BodyText"/>
        <w:spacing w:after="0"/>
        <w:jc w:val="both"/>
        <w:rPr>
          <w:rFonts w:ascii="Bookman Old Style" w:hAnsi="Bookman Old Style"/>
        </w:rPr>
      </w:pPr>
    </w:p>
    <w:p w:rsidR="00C12D0B" w:rsidRPr="00E24727" w:rsidRDefault="00C12D0B" w:rsidP="00C12D0B">
      <w:pPr>
        <w:pStyle w:val="BodyText"/>
        <w:spacing w:after="0"/>
        <w:jc w:val="both"/>
        <w:rPr>
          <w:rFonts w:ascii="Bookman Old Style" w:hAnsi="Bookman Old Style"/>
          <w:b/>
        </w:rPr>
      </w:pPr>
      <w:r w:rsidRPr="00E24727">
        <w:rPr>
          <w:rFonts w:ascii="Bookman Old Style" w:hAnsi="Bookman Old Style"/>
          <w:b/>
        </w:rPr>
        <w:t>Procesi i mësimdhënies në Shkollën e Magjistraturës gjatë vitit akademik 201</w:t>
      </w:r>
      <w:r>
        <w:rPr>
          <w:rFonts w:ascii="Bookman Old Style" w:hAnsi="Bookman Old Style"/>
          <w:b/>
        </w:rPr>
        <w:t>5</w:t>
      </w:r>
      <w:r w:rsidRPr="00E24727">
        <w:rPr>
          <w:rFonts w:ascii="Bookman Old Style" w:hAnsi="Bookman Old Style"/>
          <w:b/>
        </w:rPr>
        <w:t>-201</w:t>
      </w:r>
      <w:r>
        <w:rPr>
          <w:rFonts w:ascii="Bookman Old Style" w:hAnsi="Bookman Old Style"/>
          <w:b/>
        </w:rPr>
        <w:t>6</w:t>
      </w:r>
      <w:r w:rsidRPr="00E24727">
        <w:rPr>
          <w:rFonts w:ascii="Bookman Old Style" w:hAnsi="Bookman Old Style"/>
          <w:b/>
        </w:rPr>
        <w:t xml:space="preserve"> solli si rezultat plotësimin e objektivave të mëposhtme:</w:t>
      </w:r>
    </w:p>
    <w:p w:rsidR="00C12D0B" w:rsidRPr="0045659B" w:rsidRDefault="00C12D0B" w:rsidP="00C12D0B">
      <w:pPr>
        <w:jc w:val="both"/>
        <w:rPr>
          <w:rFonts w:ascii="Bookman Old Style" w:hAnsi="Bookman Old Style"/>
          <w:sz w:val="24"/>
          <w:szCs w:val="24"/>
        </w:rPr>
      </w:pPr>
    </w:p>
    <w:p w:rsidR="00C12D0B" w:rsidRPr="00F02DA5" w:rsidRDefault="00C12D0B" w:rsidP="003C4BF1">
      <w:pPr>
        <w:numPr>
          <w:ilvl w:val="0"/>
          <w:numId w:val="3"/>
        </w:numPr>
        <w:spacing w:after="0" w:line="240" w:lineRule="auto"/>
        <w:jc w:val="both"/>
        <w:rPr>
          <w:rFonts w:ascii="Bookman Old Style" w:hAnsi="Bookman Old Style"/>
        </w:rPr>
      </w:pPr>
      <w:r w:rsidRPr="00F02DA5">
        <w:rPr>
          <w:rFonts w:ascii="Bookman Old Style" w:hAnsi="Bookman Old Style"/>
          <w:bCs/>
        </w:rPr>
        <w:t xml:space="preserve">Rritjen e shprehive teorike, në komentimin dhe interpretimin e ligjeve </w:t>
      </w:r>
      <w:r w:rsidRPr="00F02DA5">
        <w:rPr>
          <w:rFonts w:ascii="Bookman Old Style" w:hAnsi="Bookman Old Style"/>
        </w:rPr>
        <w:t>në nivele më të avancuara dhe më të thelluara se ato të programit mësimor të përmbushur në fakultetet e drejtësisë.</w:t>
      </w:r>
    </w:p>
    <w:p w:rsidR="00C12D0B" w:rsidRPr="00F02DA5" w:rsidRDefault="00C12D0B" w:rsidP="00C12D0B">
      <w:pPr>
        <w:jc w:val="both"/>
        <w:rPr>
          <w:rFonts w:ascii="Bookman Old Style" w:hAnsi="Bookman Old Style"/>
        </w:rPr>
      </w:pPr>
    </w:p>
    <w:p w:rsidR="00C12D0B" w:rsidRPr="00F02DA5" w:rsidRDefault="00C12D0B" w:rsidP="003C4BF1">
      <w:pPr>
        <w:numPr>
          <w:ilvl w:val="0"/>
          <w:numId w:val="3"/>
        </w:numPr>
        <w:spacing w:after="0" w:line="240" w:lineRule="auto"/>
        <w:jc w:val="both"/>
        <w:rPr>
          <w:rFonts w:ascii="Bookman Old Style" w:hAnsi="Bookman Old Style"/>
          <w:b/>
          <w:bCs/>
        </w:rPr>
      </w:pPr>
      <w:r w:rsidRPr="00F02DA5">
        <w:rPr>
          <w:rFonts w:ascii="Bookman Old Style" w:hAnsi="Bookman Old Style"/>
          <w:bCs/>
        </w:rPr>
        <w:t>Njohjen me përmbajtjen e ligjeve të reja</w:t>
      </w:r>
      <w:r w:rsidRPr="00F02DA5">
        <w:rPr>
          <w:rFonts w:ascii="Bookman Old Style" w:hAnsi="Bookman Old Style"/>
        </w:rPr>
        <w:t xml:space="preserve"> të aprovuara rishtaz, me mënyrën e zbatimit dhe të analizimit të tyre, si dhe me mënyrën e </w:t>
      </w:r>
      <w:r w:rsidRPr="00F02DA5">
        <w:rPr>
          <w:rFonts w:ascii="Bookman Old Style" w:hAnsi="Bookman Old Style"/>
          <w:bCs/>
        </w:rPr>
        <w:t>ndërthurjes së tyre me kornizën ligjore ekzistuese.</w:t>
      </w:r>
    </w:p>
    <w:p w:rsidR="00C12D0B" w:rsidRPr="00F02DA5" w:rsidRDefault="00C12D0B" w:rsidP="00C12D0B">
      <w:pPr>
        <w:jc w:val="both"/>
        <w:rPr>
          <w:rFonts w:ascii="Bookman Old Style" w:hAnsi="Bookman Old Style"/>
          <w:b/>
          <w:bCs/>
        </w:rPr>
      </w:pPr>
    </w:p>
    <w:p w:rsidR="00C12D0B" w:rsidRPr="00F02DA5" w:rsidRDefault="00C12D0B" w:rsidP="003C4BF1">
      <w:pPr>
        <w:numPr>
          <w:ilvl w:val="0"/>
          <w:numId w:val="3"/>
        </w:numPr>
        <w:spacing w:after="0" w:line="240" w:lineRule="auto"/>
        <w:jc w:val="both"/>
        <w:rPr>
          <w:rFonts w:ascii="Bookman Old Style" w:hAnsi="Bookman Old Style"/>
        </w:rPr>
      </w:pPr>
      <w:r w:rsidRPr="00F02DA5">
        <w:rPr>
          <w:rFonts w:ascii="Bookman Old Style" w:hAnsi="Bookman Old Style"/>
          <w:bCs/>
        </w:rPr>
        <w:t>Rritjen e shprehive praktike të magjistratëve në drejtim të zbatimit të ligjeve në zgjidhjet konkrete të rasteve të praktikës gjyqësore</w:t>
      </w:r>
      <w:r w:rsidRPr="00F02DA5">
        <w:rPr>
          <w:rFonts w:ascii="Bookman Old Style" w:hAnsi="Bookman Old Style"/>
        </w:rPr>
        <w:t>.</w:t>
      </w:r>
    </w:p>
    <w:p w:rsidR="00C12D0B" w:rsidRPr="00F02DA5" w:rsidRDefault="00C12D0B" w:rsidP="00C12D0B">
      <w:pPr>
        <w:jc w:val="both"/>
        <w:rPr>
          <w:rFonts w:ascii="Bookman Old Style" w:hAnsi="Bookman Old Style"/>
        </w:rPr>
      </w:pPr>
    </w:p>
    <w:p w:rsidR="00C12D0B" w:rsidRPr="00F02DA5" w:rsidRDefault="00C12D0B" w:rsidP="003C4BF1">
      <w:pPr>
        <w:numPr>
          <w:ilvl w:val="0"/>
          <w:numId w:val="3"/>
        </w:numPr>
        <w:spacing w:after="0" w:line="240" w:lineRule="auto"/>
        <w:jc w:val="both"/>
        <w:rPr>
          <w:rFonts w:ascii="Bookman Old Style" w:hAnsi="Bookman Old Style"/>
        </w:rPr>
      </w:pPr>
      <w:r w:rsidRPr="00F02DA5">
        <w:rPr>
          <w:rFonts w:ascii="Bookman Old Style" w:hAnsi="Bookman Old Style"/>
          <w:bCs/>
        </w:rPr>
        <w:t>Rritjen e aftësive intelektuale dhe shkencore në drejtim të argumentimit logjik dhe analitik</w:t>
      </w:r>
      <w:r w:rsidRPr="00F02DA5">
        <w:rPr>
          <w:rFonts w:ascii="Bookman Old Style" w:hAnsi="Bookman Old Style"/>
        </w:rPr>
        <w:t xml:space="preserve"> të praktikës gjyqësore, drejt bazueshmërisë së vendimeve gjyqësore dhe akteve të tjera proçeduriale në prova dhe në ligj. </w:t>
      </w:r>
    </w:p>
    <w:p w:rsidR="00C12D0B" w:rsidRPr="00F02DA5" w:rsidRDefault="00C12D0B" w:rsidP="00C12D0B">
      <w:pPr>
        <w:jc w:val="both"/>
        <w:rPr>
          <w:rFonts w:ascii="Bookman Old Style" w:hAnsi="Bookman Old Style"/>
        </w:rPr>
      </w:pPr>
    </w:p>
    <w:p w:rsidR="00C12D0B" w:rsidRPr="00F02DA5" w:rsidRDefault="00C12D0B" w:rsidP="003C4BF1">
      <w:pPr>
        <w:numPr>
          <w:ilvl w:val="0"/>
          <w:numId w:val="3"/>
        </w:numPr>
        <w:spacing w:after="0" w:line="240" w:lineRule="auto"/>
        <w:jc w:val="both"/>
        <w:rPr>
          <w:rFonts w:ascii="Bookman Old Style" w:hAnsi="Bookman Old Style"/>
        </w:rPr>
      </w:pPr>
      <w:r w:rsidRPr="00F02DA5">
        <w:rPr>
          <w:rFonts w:ascii="Bookman Old Style" w:hAnsi="Bookman Old Style"/>
          <w:bCs/>
        </w:rPr>
        <w:t>Rritjes së shprehive në nivele bashkëkohore në drejtim të shkrimit dhe arsyetimit ligjor</w:t>
      </w:r>
      <w:r w:rsidRPr="00F02DA5">
        <w:rPr>
          <w:rFonts w:ascii="Bookman Old Style" w:hAnsi="Bookman Old Style"/>
        </w:rPr>
        <w:t xml:space="preserve">. </w:t>
      </w:r>
    </w:p>
    <w:p w:rsidR="00C12D0B" w:rsidRPr="00F02DA5" w:rsidRDefault="00C12D0B" w:rsidP="00C12D0B">
      <w:pPr>
        <w:jc w:val="both"/>
        <w:rPr>
          <w:rFonts w:ascii="Bookman Old Style" w:hAnsi="Bookman Old Style"/>
          <w:bCs/>
        </w:rPr>
      </w:pPr>
    </w:p>
    <w:p w:rsidR="00C12D0B" w:rsidRPr="00F02DA5" w:rsidRDefault="00C12D0B" w:rsidP="003C4BF1">
      <w:pPr>
        <w:numPr>
          <w:ilvl w:val="0"/>
          <w:numId w:val="3"/>
        </w:numPr>
        <w:spacing w:after="0" w:line="240" w:lineRule="auto"/>
        <w:jc w:val="both"/>
        <w:rPr>
          <w:rFonts w:ascii="Bookman Old Style" w:hAnsi="Bookman Old Style"/>
        </w:rPr>
      </w:pPr>
      <w:r w:rsidRPr="00F02DA5">
        <w:rPr>
          <w:rFonts w:ascii="Bookman Old Style" w:hAnsi="Bookman Old Style"/>
          <w:bCs/>
        </w:rPr>
        <w:t>Unifikimin e zgjidhjeve ligjore</w:t>
      </w:r>
      <w:r w:rsidRPr="00F02DA5">
        <w:rPr>
          <w:rFonts w:ascii="Bookman Old Style" w:hAnsi="Bookman Old Style"/>
        </w:rPr>
        <w:t xml:space="preserve"> të rasteve praktike, me qëllim mënjanimin e zgjidhjeve paralele apo të kundërta, për rastet që janë të ngjashme.</w:t>
      </w:r>
    </w:p>
    <w:p w:rsidR="00C12D0B" w:rsidRPr="00F02DA5" w:rsidRDefault="00C12D0B" w:rsidP="00C12D0B">
      <w:pPr>
        <w:jc w:val="both"/>
        <w:rPr>
          <w:rFonts w:ascii="Bookman Old Style" w:hAnsi="Bookman Old Style"/>
        </w:rPr>
      </w:pPr>
    </w:p>
    <w:p w:rsidR="007B6F4C" w:rsidRDefault="007B6F4C" w:rsidP="005E72AD">
      <w:pPr>
        <w:spacing w:after="0"/>
        <w:jc w:val="center"/>
      </w:pPr>
    </w:p>
    <w:p w:rsidR="00C12D0B" w:rsidRPr="00F02DA5" w:rsidRDefault="00C12D0B" w:rsidP="003C4BF1">
      <w:pPr>
        <w:numPr>
          <w:ilvl w:val="0"/>
          <w:numId w:val="3"/>
        </w:numPr>
        <w:spacing w:after="0" w:line="240" w:lineRule="auto"/>
        <w:jc w:val="both"/>
        <w:rPr>
          <w:rFonts w:ascii="Bookman Old Style" w:hAnsi="Bookman Old Style"/>
          <w:bCs/>
        </w:rPr>
      </w:pPr>
      <w:r w:rsidRPr="00F02DA5">
        <w:rPr>
          <w:rFonts w:ascii="Bookman Old Style" w:hAnsi="Bookman Old Style"/>
          <w:bCs/>
        </w:rPr>
        <w:t xml:space="preserve">Rritjen e shkallës së komunikimit dhe të sjelljes së magjistratëve të ardhshëm brenda normave të etikës profesionale. </w:t>
      </w:r>
    </w:p>
    <w:p w:rsidR="00C12D0B" w:rsidRPr="00F02DA5" w:rsidRDefault="00C12D0B" w:rsidP="00C12D0B">
      <w:pPr>
        <w:jc w:val="both"/>
        <w:rPr>
          <w:rFonts w:ascii="Bookman Old Style" w:hAnsi="Bookman Old Style"/>
          <w:bCs/>
        </w:rPr>
      </w:pPr>
    </w:p>
    <w:p w:rsidR="00C12D0B" w:rsidRPr="00F02DA5" w:rsidRDefault="00C12D0B" w:rsidP="003C4BF1">
      <w:pPr>
        <w:numPr>
          <w:ilvl w:val="0"/>
          <w:numId w:val="3"/>
        </w:numPr>
        <w:spacing w:after="0" w:line="240" w:lineRule="auto"/>
        <w:jc w:val="both"/>
        <w:rPr>
          <w:rFonts w:ascii="Bookman Old Style" w:hAnsi="Bookman Old Style"/>
          <w:bCs/>
        </w:rPr>
      </w:pPr>
      <w:r w:rsidRPr="00F02DA5">
        <w:rPr>
          <w:rFonts w:ascii="Bookman Old Style" w:hAnsi="Bookman Old Style"/>
          <w:bCs/>
        </w:rPr>
        <w:t xml:space="preserve">Edukimin e magjistratëve me shprehitë e nevojshme për zbatimin në punën e tyre të parimeve të: </w:t>
      </w:r>
    </w:p>
    <w:p w:rsidR="00C12D0B" w:rsidRPr="00F02DA5" w:rsidRDefault="00C12D0B" w:rsidP="003C4BF1">
      <w:pPr>
        <w:numPr>
          <w:ilvl w:val="0"/>
          <w:numId w:val="4"/>
        </w:numPr>
        <w:spacing w:after="0" w:line="240" w:lineRule="auto"/>
        <w:jc w:val="both"/>
        <w:rPr>
          <w:rFonts w:ascii="Bookman Old Style" w:hAnsi="Bookman Old Style"/>
          <w:bCs/>
        </w:rPr>
      </w:pPr>
      <w:r w:rsidRPr="00F02DA5">
        <w:rPr>
          <w:rFonts w:ascii="Bookman Old Style" w:hAnsi="Bookman Old Style"/>
          <w:bCs/>
        </w:rPr>
        <w:t xml:space="preserve">pavarësisë, </w:t>
      </w:r>
    </w:p>
    <w:p w:rsidR="00C12D0B" w:rsidRPr="00F02DA5" w:rsidRDefault="00C12D0B" w:rsidP="003C4BF1">
      <w:pPr>
        <w:numPr>
          <w:ilvl w:val="0"/>
          <w:numId w:val="4"/>
        </w:numPr>
        <w:spacing w:after="0" w:line="240" w:lineRule="auto"/>
        <w:jc w:val="both"/>
        <w:rPr>
          <w:rFonts w:ascii="Bookman Old Style" w:hAnsi="Bookman Old Style"/>
          <w:bCs/>
        </w:rPr>
      </w:pPr>
      <w:r w:rsidRPr="00F02DA5">
        <w:rPr>
          <w:rFonts w:ascii="Bookman Old Style" w:hAnsi="Bookman Old Style"/>
          <w:bCs/>
        </w:rPr>
        <w:t>paanësisë,</w:t>
      </w:r>
    </w:p>
    <w:p w:rsidR="00C12D0B" w:rsidRPr="00F02DA5" w:rsidRDefault="00C12D0B" w:rsidP="003C4BF1">
      <w:pPr>
        <w:numPr>
          <w:ilvl w:val="0"/>
          <w:numId w:val="4"/>
        </w:numPr>
        <w:spacing w:after="0" w:line="240" w:lineRule="auto"/>
        <w:jc w:val="both"/>
        <w:rPr>
          <w:rFonts w:ascii="Bookman Old Style" w:hAnsi="Bookman Old Style"/>
          <w:bCs/>
        </w:rPr>
      </w:pPr>
      <w:r w:rsidRPr="00F02DA5">
        <w:rPr>
          <w:rFonts w:ascii="Bookman Old Style" w:hAnsi="Bookman Old Style"/>
          <w:bCs/>
        </w:rPr>
        <w:t>ndershmërisë profesionale.</w:t>
      </w:r>
    </w:p>
    <w:p w:rsidR="00C12D0B" w:rsidRPr="00F02DA5" w:rsidRDefault="00C12D0B" w:rsidP="00C12D0B">
      <w:pPr>
        <w:jc w:val="both"/>
        <w:rPr>
          <w:rFonts w:ascii="Bookman Old Style" w:hAnsi="Bookman Old Style"/>
          <w:bCs/>
        </w:rPr>
      </w:pPr>
      <w:r w:rsidRPr="00F02DA5">
        <w:rPr>
          <w:rFonts w:ascii="Bookman Old Style" w:hAnsi="Bookman Old Style"/>
          <w:bCs/>
        </w:rPr>
        <w:t>në dhënien e vendimeve dhe shqyrtimin e çështjeve penale e civile.</w:t>
      </w:r>
    </w:p>
    <w:p w:rsidR="00C12D0B" w:rsidRPr="00DD7FAA" w:rsidRDefault="00D754B9" w:rsidP="00DD7FAA">
      <w:pPr>
        <w:ind w:left="300" w:hanging="300"/>
        <w:jc w:val="both"/>
        <w:rPr>
          <w:rFonts w:ascii="Bookman Old Style" w:hAnsi="Bookman Old Style"/>
          <w:bCs/>
        </w:rPr>
      </w:pPr>
      <w:r>
        <w:rPr>
          <w:rFonts w:ascii="Bookman Old Style" w:hAnsi="Bookman Old Style"/>
          <w:bCs/>
        </w:rPr>
        <w:t>9</w:t>
      </w:r>
      <w:r w:rsidR="00C12D0B" w:rsidRPr="00F02DA5">
        <w:rPr>
          <w:rFonts w:ascii="Bookman Old Style" w:hAnsi="Bookman Old Style"/>
          <w:bCs/>
        </w:rPr>
        <w:t>.Organizimin e praktikës aktive si gjyqtarë dhe prokurorë në vitin e tretë të shkollës së Magjistraturës.</w:t>
      </w:r>
    </w:p>
    <w:p w:rsidR="00C12D0B" w:rsidRPr="00F02DA5" w:rsidRDefault="00C12D0B" w:rsidP="00C12D0B">
      <w:pPr>
        <w:jc w:val="both"/>
        <w:rPr>
          <w:rFonts w:ascii="Bookman Old Style" w:hAnsi="Bookman Old Style"/>
        </w:rPr>
      </w:pPr>
      <w:r w:rsidRPr="00F02DA5">
        <w:rPr>
          <w:rFonts w:ascii="Bookman Old Style" w:hAnsi="Bookman Old Style"/>
        </w:rPr>
        <w:t>Objektivat e sipërpërmendura gjatë vitit akademik 2015-2016 u realizuan nëpërmjet:</w:t>
      </w:r>
    </w:p>
    <w:p w:rsidR="00C12D0B" w:rsidRPr="00F02DA5" w:rsidRDefault="00C12D0B" w:rsidP="003C4BF1">
      <w:pPr>
        <w:numPr>
          <w:ilvl w:val="0"/>
          <w:numId w:val="5"/>
        </w:numPr>
        <w:spacing w:after="0" w:line="240" w:lineRule="auto"/>
        <w:jc w:val="both"/>
        <w:rPr>
          <w:rFonts w:ascii="Bookman Old Style" w:hAnsi="Bookman Old Style"/>
        </w:rPr>
      </w:pPr>
      <w:r w:rsidRPr="00F02DA5">
        <w:rPr>
          <w:rFonts w:ascii="Bookman Old Style" w:hAnsi="Bookman Old Style"/>
        </w:rPr>
        <w:t>Mësimdhënies tradicionale nëpërmjet leksioneve teorike, me kujdesin e evitimit të përsëritjes së njohurive të marra në Fakultetin Juridik.</w:t>
      </w:r>
    </w:p>
    <w:p w:rsidR="00C12D0B" w:rsidRPr="00F02DA5" w:rsidRDefault="00C12D0B" w:rsidP="00C12D0B">
      <w:pPr>
        <w:pStyle w:val="ListParagraph"/>
        <w:ind w:left="0"/>
        <w:rPr>
          <w:rFonts w:ascii="Bookman Old Style" w:hAnsi="Bookman Old Style"/>
          <w:bCs/>
        </w:rPr>
      </w:pPr>
    </w:p>
    <w:p w:rsidR="00C12D0B" w:rsidRPr="00F02DA5" w:rsidRDefault="00C12D0B" w:rsidP="003C4BF1">
      <w:pPr>
        <w:numPr>
          <w:ilvl w:val="0"/>
          <w:numId w:val="5"/>
        </w:numPr>
        <w:spacing w:after="0" w:line="240" w:lineRule="auto"/>
        <w:jc w:val="both"/>
        <w:rPr>
          <w:rFonts w:ascii="Bookman Old Style" w:hAnsi="Bookman Old Style"/>
        </w:rPr>
      </w:pPr>
      <w:r w:rsidRPr="00F02DA5">
        <w:rPr>
          <w:rFonts w:ascii="Bookman Old Style" w:hAnsi="Bookman Old Style"/>
          <w:bCs/>
        </w:rPr>
        <w:t>Organizimit të debateve juridike</w:t>
      </w:r>
      <w:r w:rsidRPr="00F02DA5">
        <w:rPr>
          <w:rFonts w:ascii="Bookman Old Style" w:hAnsi="Bookman Old Style"/>
        </w:rPr>
        <w:t xml:space="preserve"> lidhur me dispozita të diskutueshme juridike apo boshllëqe ligjore, sqarime termash e shprehjesh, realizime interpretimesh e komentesh ligjore dhe me analizat përkatëse.</w:t>
      </w:r>
    </w:p>
    <w:p w:rsidR="00C12D0B" w:rsidRPr="00F02DA5" w:rsidRDefault="00C12D0B" w:rsidP="00C12D0B">
      <w:pPr>
        <w:jc w:val="both"/>
        <w:rPr>
          <w:rFonts w:ascii="Bookman Old Style" w:hAnsi="Bookman Old Style"/>
        </w:rPr>
      </w:pPr>
    </w:p>
    <w:p w:rsidR="00C12D0B" w:rsidRPr="00F02DA5" w:rsidRDefault="00C12D0B" w:rsidP="003C4BF1">
      <w:pPr>
        <w:numPr>
          <w:ilvl w:val="0"/>
          <w:numId w:val="5"/>
        </w:numPr>
        <w:spacing w:after="0" w:line="240" w:lineRule="auto"/>
        <w:jc w:val="both"/>
        <w:rPr>
          <w:rFonts w:ascii="Bookman Old Style" w:hAnsi="Bookman Old Style"/>
        </w:rPr>
      </w:pPr>
      <w:r w:rsidRPr="00F02DA5">
        <w:rPr>
          <w:rFonts w:ascii="Bookman Old Style" w:hAnsi="Bookman Old Style"/>
          <w:bCs/>
        </w:rPr>
        <w:t>Diskutimit dhe zgjidhjes</w:t>
      </w:r>
      <w:r w:rsidRPr="00F02DA5">
        <w:rPr>
          <w:rFonts w:ascii="Bookman Old Style" w:hAnsi="Bookman Old Style"/>
        </w:rPr>
        <w:t xml:space="preserve"> së rasteve të nxjerra nga praktika gjyqësore nga kandidatët me grupe pune ose me gjithë auditorin në tërësi. </w:t>
      </w:r>
    </w:p>
    <w:p w:rsidR="00C12D0B" w:rsidRPr="00F02DA5" w:rsidRDefault="00C12D0B" w:rsidP="00C12D0B">
      <w:pPr>
        <w:ind w:left="360"/>
        <w:jc w:val="both"/>
        <w:rPr>
          <w:rFonts w:ascii="Bookman Old Style" w:hAnsi="Bookman Old Style"/>
          <w:bCs/>
        </w:rPr>
      </w:pPr>
    </w:p>
    <w:p w:rsidR="00C12D0B" w:rsidRPr="00F02DA5" w:rsidRDefault="00C12D0B" w:rsidP="003C4BF1">
      <w:pPr>
        <w:numPr>
          <w:ilvl w:val="0"/>
          <w:numId w:val="5"/>
        </w:numPr>
        <w:spacing w:after="0" w:line="240" w:lineRule="auto"/>
        <w:jc w:val="both"/>
        <w:rPr>
          <w:rFonts w:ascii="Bookman Old Style" w:hAnsi="Bookman Old Style"/>
        </w:rPr>
      </w:pPr>
      <w:r w:rsidRPr="00F02DA5">
        <w:rPr>
          <w:rFonts w:ascii="Bookman Old Style" w:hAnsi="Bookman Old Style"/>
          <w:bCs/>
        </w:rPr>
        <w:t>Realizimit të gjyqeve imituese</w:t>
      </w:r>
      <w:r w:rsidRPr="00F02DA5">
        <w:rPr>
          <w:rFonts w:ascii="Bookman Old Style" w:hAnsi="Bookman Old Style"/>
        </w:rPr>
        <w:t>, duke ndarë kandidatët në rolin e aktorëve të procesit si gjyqtarë, prokurorë, avokatë, ekspertë, e të tjera, në mënyrë që të marrin shprehitë e duhura të qëndrimit dhe të menaxhimit të procesit gjyqësor.</w:t>
      </w:r>
    </w:p>
    <w:p w:rsidR="00C12D0B" w:rsidRPr="00F02DA5" w:rsidRDefault="00C12D0B" w:rsidP="00C12D0B">
      <w:pPr>
        <w:jc w:val="both"/>
        <w:rPr>
          <w:rFonts w:ascii="Bookman Old Style" w:hAnsi="Bookman Old Style"/>
        </w:rPr>
      </w:pPr>
    </w:p>
    <w:p w:rsidR="00C12D0B" w:rsidRPr="00F02DA5" w:rsidRDefault="00C12D0B" w:rsidP="003C4BF1">
      <w:pPr>
        <w:numPr>
          <w:ilvl w:val="0"/>
          <w:numId w:val="6"/>
        </w:numPr>
        <w:spacing w:after="0" w:line="240" w:lineRule="auto"/>
        <w:jc w:val="both"/>
        <w:rPr>
          <w:rFonts w:ascii="Bookman Old Style" w:hAnsi="Bookman Old Style"/>
        </w:rPr>
      </w:pPr>
      <w:r w:rsidRPr="00F02DA5">
        <w:rPr>
          <w:rFonts w:ascii="Bookman Old Style" w:hAnsi="Bookman Old Style"/>
          <w:bCs/>
        </w:rPr>
        <w:t>Përgatitjes së eseve, temave dhe materialeve të tjera lidhur me probleme të mprehta të praktikës gjyqësore dhe të jurisprudencës në përgjithësi</w:t>
      </w:r>
      <w:r w:rsidRPr="00F02DA5">
        <w:rPr>
          <w:rFonts w:ascii="Bookman Old Style" w:hAnsi="Bookman Old Style"/>
        </w:rPr>
        <w:t xml:space="preserve"> për të fituar shprehitë e shfrytëzimit të literaturave dhe të burimeve bashkëkohore të internetit.</w:t>
      </w:r>
    </w:p>
    <w:p w:rsidR="00C12D0B" w:rsidRPr="00F02DA5" w:rsidRDefault="00C12D0B" w:rsidP="00C12D0B">
      <w:pPr>
        <w:ind w:left="720"/>
        <w:jc w:val="both"/>
        <w:rPr>
          <w:rFonts w:ascii="Bookman Old Style" w:hAnsi="Bookman Old Style"/>
        </w:rPr>
      </w:pPr>
    </w:p>
    <w:p w:rsidR="00C12D0B" w:rsidRPr="00F02DA5" w:rsidRDefault="00C12D0B" w:rsidP="003C4BF1">
      <w:pPr>
        <w:numPr>
          <w:ilvl w:val="0"/>
          <w:numId w:val="6"/>
        </w:numPr>
        <w:spacing w:after="0" w:line="240" w:lineRule="auto"/>
        <w:jc w:val="both"/>
        <w:rPr>
          <w:rFonts w:ascii="Bookman Old Style" w:hAnsi="Bookman Old Style"/>
        </w:rPr>
      </w:pPr>
      <w:r w:rsidRPr="00F02DA5">
        <w:rPr>
          <w:rFonts w:ascii="Bookman Old Style" w:hAnsi="Bookman Old Style"/>
          <w:bCs/>
        </w:rPr>
        <w:t>Organizimit të takimeve</w:t>
      </w:r>
      <w:r w:rsidRPr="00F02DA5">
        <w:rPr>
          <w:rFonts w:ascii="Bookman Old Style" w:hAnsi="Bookman Old Style"/>
        </w:rPr>
        <w:t xml:space="preserve"> dhe të vizitave pranë institucioneve të drejtësisë të të gjitha shkallëve, etj. </w:t>
      </w:r>
    </w:p>
    <w:p w:rsidR="00C12D0B" w:rsidRPr="00F02DA5" w:rsidRDefault="00C12D0B" w:rsidP="00C12D0B">
      <w:pPr>
        <w:pStyle w:val="ListParagraph"/>
        <w:rPr>
          <w:rFonts w:ascii="Bookman Old Style" w:hAnsi="Bookman Old Style"/>
        </w:rPr>
      </w:pPr>
    </w:p>
    <w:p w:rsidR="00C12D0B" w:rsidRPr="00F02DA5" w:rsidRDefault="00C12D0B" w:rsidP="003C4BF1">
      <w:pPr>
        <w:numPr>
          <w:ilvl w:val="0"/>
          <w:numId w:val="6"/>
        </w:numPr>
        <w:spacing w:after="0" w:line="240" w:lineRule="auto"/>
        <w:rPr>
          <w:rFonts w:ascii="Bookman Old Style" w:hAnsi="Bookman Old Style"/>
        </w:rPr>
      </w:pPr>
      <w:r w:rsidRPr="00F02DA5">
        <w:rPr>
          <w:rFonts w:ascii="Bookman Old Style" w:hAnsi="Bookman Old Style"/>
        </w:rPr>
        <w:t>Lëndëve te reja te programuara gjatë këtij viti akademik, të cilat kanë ndikuar ndjeshëm në  shtimin e njohurive të kandidatëve, gjatë fazës së  trajnimit fillestar.</w:t>
      </w:r>
    </w:p>
    <w:p w:rsidR="00C12D0B" w:rsidRPr="00F02DA5" w:rsidRDefault="00C12D0B" w:rsidP="00C12D0B">
      <w:pPr>
        <w:pStyle w:val="ListParagraph"/>
        <w:rPr>
          <w:rFonts w:ascii="Bookman Old Style" w:hAnsi="Bookman Old Style"/>
        </w:rPr>
      </w:pPr>
    </w:p>
    <w:p w:rsidR="00C12D0B" w:rsidRPr="00F02DA5" w:rsidRDefault="00C12D0B" w:rsidP="003C4BF1">
      <w:pPr>
        <w:numPr>
          <w:ilvl w:val="0"/>
          <w:numId w:val="6"/>
        </w:numPr>
        <w:spacing w:after="0" w:line="240" w:lineRule="auto"/>
        <w:rPr>
          <w:rFonts w:ascii="Bookman Old Style" w:hAnsi="Bookman Old Style"/>
        </w:rPr>
      </w:pPr>
      <w:r w:rsidRPr="00F02DA5">
        <w:rPr>
          <w:rFonts w:ascii="Bookman Old Style" w:hAnsi="Bookman Old Style"/>
        </w:rPr>
        <w:t>Rishikimin e programit mësimor të vitit të dytë akademik, i cili hyn fuqi për vitin akademik 2016-2017</w:t>
      </w:r>
    </w:p>
    <w:p w:rsidR="00DD7FAA" w:rsidRDefault="00C12D0B" w:rsidP="00C12D0B">
      <w:pPr>
        <w:tabs>
          <w:tab w:val="left" w:pos="1100"/>
        </w:tabs>
        <w:rPr>
          <w:rFonts w:ascii="Bookman Old Style" w:hAnsi="Bookman Old Style"/>
          <w:sz w:val="24"/>
          <w:szCs w:val="24"/>
        </w:rPr>
      </w:pPr>
      <w:r w:rsidRPr="00D66A10">
        <w:rPr>
          <w:rFonts w:ascii="Bookman Old Style" w:hAnsi="Bookman Old Style"/>
          <w:sz w:val="24"/>
          <w:szCs w:val="24"/>
        </w:rPr>
        <w:tab/>
      </w:r>
    </w:p>
    <w:p w:rsidR="00DD7FAA" w:rsidRPr="00E35BA3" w:rsidRDefault="00DD7FAA" w:rsidP="00C12D0B">
      <w:pPr>
        <w:tabs>
          <w:tab w:val="left" w:pos="1100"/>
        </w:tabs>
        <w:rPr>
          <w:rFonts w:ascii="Bookman Old Style" w:hAnsi="Bookman Old Style"/>
        </w:rPr>
      </w:pPr>
    </w:p>
    <w:p w:rsidR="00C12D0B" w:rsidRDefault="00C12D0B" w:rsidP="00C12D0B">
      <w:pPr>
        <w:autoSpaceDE w:val="0"/>
        <w:autoSpaceDN w:val="0"/>
        <w:adjustRightInd w:val="0"/>
        <w:ind w:left="360" w:firstLine="720"/>
        <w:jc w:val="both"/>
        <w:rPr>
          <w:rFonts w:ascii="Bookman Old Style" w:hAnsi="Bookman Old Style"/>
          <w:b/>
          <w:bCs/>
          <w:sz w:val="24"/>
        </w:rPr>
      </w:pPr>
      <w:r w:rsidRPr="009A6087">
        <w:rPr>
          <w:rFonts w:ascii="Bookman Old Style" w:hAnsi="Bookman Old Style"/>
          <w:b/>
          <w:bCs/>
          <w:sz w:val="24"/>
        </w:rPr>
        <w:t>Gjatë vitit akademik 201</w:t>
      </w:r>
      <w:r>
        <w:rPr>
          <w:rFonts w:ascii="Bookman Old Style" w:hAnsi="Bookman Old Style"/>
          <w:b/>
          <w:bCs/>
          <w:sz w:val="24"/>
        </w:rPr>
        <w:t>5</w:t>
      </w:r>
      <w:r w:rsidRPr="009A6087">
        <w:rPr>
          <w:rFonts w:ascii="Bookman Old Style" w:hAnsi="Bookman Old Style"/>
          <w:b/>
          <w:bCs/>
          <w:sz w:val="24"/>
        </w:rPr>
        <w:t>-201</w:t>
      </w:r>
      <w:r>
        <w:rPr>
          <w:rFonts w:ascii="Bookman Old Style" w:hAnsi="Bookman Old Style"/>
          <w:b/>
          <w:bCs/>
          <w:sz w:val="24"/>
        </w:rPr>
        <w:t xml:space="preserve">6 në ambientet e Shkollës së Magjistraturës janë </w:t>
      </w:r>
      <w:r w:rsidRPr="009A6087">
        <w:rPr>
          <w:rFonts w:ascii="Bookman Old Style" w:hAnsi="Bookman Old Style"/>
          <w:b/>
          <w:bCs/>
          <w:sz w:val="24"/>
        </w:rPr>
        <w:t xml:space="preserve">përgatitur përkatësisht </w:t>
      </w:r>
      <w:r>
        <w:rPr>
          <w:rFonts w:ascii="Bookman Old Style" w:hAnsi="Bookman Old Style"/>
          <w:b/>
          <w:bCs/>
          <w:sz w:val="24"/>
        </w:rPr>
        <w:t xml:space="preserve">27 kandidatë për </w:t>
      </w:r>
      <w:r w:rsidR="00DD7FAA">
        <w:rPr>
          <w:rFonts w:ascii="Bookman Old Style" w:hAnsi="Bookman Old Style"/>
          <w:b/>
          <w:bCs/>
          <w:sz w:val="24"/>
        </w:rPr>
        <w:t xml:space="preserve">magjistratë, </w:t>
      </w:r>
      <w:r w:rsidRPr="009A6087">
        <w:rPr>
          <w:rFonts w:ascii="Bookman Old Style" w:hAnsi="Bookman Old Style"/>
          <w:b/>
          <w:bCs/>
          <w:sz w:val="24"/>
        </w:rPr>
        <w:t>sipas ndarjes së mëposhtme:</w:t>
      </w:r>
    </w:p>
    <w:p w:rsidR="00C12D0B" w:rsidRPr="00C12D0B" w:rsidRDefault="004F065D" w:rsidP="00C12D0B">
      <w:pPr>
        <w:autoSpaceDE w:val="0"/>
        <w:autoSpaceDN w:val="0"/>
        <w:adjustRightInd w:val="0"/>
        <w:ind w:left="360" w:firstLine="720"/>
        <w:jc w:val="both"/>
        <w:rPr>
          <w:rFonts w:ascii="Bookman Old Style" w:hAnsi="Bookman Old Style"/>
          <w:b/>
          <w:bCs/>
          <w:sz w:val="24"/>
        </w:rPr>
      </w:pPr>
      <w:r w:rsidRPr="004F065D">
        <w:rPr>
          <w:rFonts w:ascii="Bookman Old Style" w:hAnsi="Bookman Old Style"/>
          <w:b/>
          <w:bCs/>
          <w:noProof/>
        </w:rPr>
      </w:r>
      <w:r w:rsidRPr="004F065D">
        <w:rPr>
          <w:rFonts w:ascii="Bookman Old Style" w:hAnsi="Bookman Old Style"/>
          <w:b/>
          <w:bCs/>
          <w:noProof/>
        </w:rPr>
        <w:pict>
          <v:group id="Canvas 8" o:spid="_x0000_s1042" editas="canvas" style="width:479.7pt;height:297.1pt;mso-position-horizontal-relative:char;mso-position-vertical-relative:line" coordsize="60921,3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9MPA0AAGFMAAAOAAAAZHJzL2Uyb0RvYy54bWzsXOtv48gN/16g/4Pgjy180egt47KHjR2n&#10;Bba9xW2KflZsJXbPllxJeewV/d/7I+ehhy073myyvYV3gViyKA6HQ3JIDukff3par6yHtCiXeXY+&#10;ED/YAyvNZvl8md2dD/5xPR1GA6uskmyerPIsPR98TsvBT+/++IcfHzej1MkX+WqeFhaQZOXocXM+&#10;WFTVZnR2Vs4W6Topf8g3aYaHt3mxTircFndn8yJ5BPb16syx7eDsMS/mmyKfpWWJbyfy4eAd47+9&#10;TWfVz7e3ZVpZq/MBaKv4b8F/b+jv2bsfk9FdkWwWy5kiI/kCKtbJMsOgBtUkqRLrvlhuoVovZ0Ve&#10;5rfVD7N8fZbf3i5nKc8BsxF2ZzbjJHtISp7MDNzRBOLqK+K9uSO6s3y6XK3AjTNgH9F39PmI9Unx&#10;5eMGq1NuzDqVLxv/0yLZpDytcjT7+8PHwlrOzwdOPLCyZA0heX9f5QxjCV4hGh5wnzYfC6K13HzI&#10;Z7+WVpaPF0l2l74vivxxkSZzkCVoRTGHxgt0U+JV6+bxb/kc6BOg58V6ui3WhBDLYD2BgCAIIt8Z&#10;WJ9x7cehI2IpH+lTZc0AIALbdiJ/YM0AAVBXhDxcMtKYNkVZXaX52qKL80GxvLnJpWAkDx/KiiVk&#10;rmaZzP8lBtbtegWBe0hWlnB8WwtkAwb01DCAkDBnyUhhxJUetbWQyWiVtb4AoPwG01G00MRYSv8T&#10;2/FldBl5Q88JLoeePZkM30/H3jCYitCfuJPxeCL+S0wT3mixnM/TjORFa4zwnicQSnelrBudKfPV&#10;ck7oiNyyuLsZrwoLHDkfTPmf4nED7KxNBlY8GWEu9H5jSsLx7AsnHk6DKBx6U88fxqEdDW0RX8SB&#10;7cXeZNqe0odllr58Stbj+SD2HZ9FrEF0Z260kmYtW2BFfp/N2TCRUF+q6ypZruR1Y/ZEcT17yQVe&#10;W1YBknqpvDf5/DM0oMghlDCDMNi4WOTFbwPrEcbvfFD++z4p0oG1+msGLYqF55G15BvPDx3cFM0n&#10;N80nSTYDqvNBNbDk5biSFvZ+UyzvFhhJMC+ynBT7dllpFZVUKX2FfXkjQ+NiNtLQTPLH7BfWUZib&#10;YkOC1jIdTVtzOV9WH/NlVrGV+erGx40Dx3dCNj4iFF5gsymTAk3Gx7H9MHBdZXx8N4qijvGZ3Uvj&#10;Q2rAxoFl6G7eNTxXmL80KX8eWjb9J0TYu7TVuTJ2CQC+Z++EMXZJwzghAXZRgWAzlkMGFONdOV0o&#10;bxeUYkBNFizvFi4atYst0HB/OrOufEtYW+OBzzUmpnuL8mvDJWARdgTKHy2eQWe4a8MtADITFrvh&#10;DMc0XA8+wzLAxZ5vWz34DNMOEWj4RgPzGvRgbDJORHH/lA3/DpAI70/ymUgMg9iDKbEgBMAc+L4b&#10;dFkJF6CGF2EceNFeePgH9Qt+FEcw+fvwi+Za7YdsrtaV6F375mJdhX1LJZprdeX1Ytu7UjDvRpmT&#10;BbSatXb2lCkFxxUMMPzu64jt7SYvya0hQYa/AjEFPHAAjLS9ho5b0Jg3Qbt90GA5va6RY2IE7veC&#10;S9uvwSFhBK79JqZF0qQmUcBlJ2f9WoAQbB3XAhzGdnJNLITLfi14KBCQVMQDpgWXtOtK7bQW5grO&#10;QHFPocnPv9K+R7Dr/CG9zvmtirgjmcMmBHTUT1dZEyoSsDJEuQbUj/XnhpEZMG2VgFJD6E8JKVxy&#10;9gjjEaD7B1ezP0gkKzYPTcZFrZumTn9KKmuU8iUpQBpGf6oZBYjHGO0xsHKEfXhp/5GMIsu1l1wD&#10;epiC51LKq0PLtINXs1VeUnSERSZh3CuJt3BvzwcZYmAEyIelcpcg9cmmmfVBSTKQ2/x5hTmY0Rp0&#10;9c3BzLe9wK9A1U7F6yNLGJluzEGLvf48LP6vMY1dlPVOwxibHvYqAtmc4rrpSCI3wrEZxQ7/XFYL&#10;jsu1R39XKgt8V1qw8NrGtmI4OE5wntj2JqvNIpGRXURfK2VW4KxIdyWpkUYHq0tg9FUfzrtkvU6g&#10;hIBYJPNUYg9EHCjvcZk9XCkQzKw7FL4ycyAdtugP4nZsQjwqqe11/ovak2T0TbuSusK+pK6wM8mr&#10;pj0g7Ip9ROAqe2ZoOJ3G8XSqudOMjtfLCumy1XJ9PiAGShYmo744UQf8nAhTS5XfA8WnxfzRmi8p&#10;RyHsEHHFAHeYDYk5YbWS1R3yebOqwObbWvidqxHRCsuZG/S8nGk9cicirZ5unvAGhVun4LSRBXPh&#10;of7fBadqtwyFGzocddZhqYiQEUOyQ+bEfC+UigfR1zmxpjU5haWU7UMwdApLKWaoYzf2A/uip1NY&#10;qjMzHBWZCPkUltZB7CkspThE+6T6U/qmxrs+7MUaT/EIUL3160H1ZzeG3A8nY5KeUKsP5XYgU/Pg&#10;sF/eD3sKS3cmS3YJUl/QsSv808uoP+USGcjt1YRIf+3Q2ozWkPC+OZj5tkX3Fag6haW1+TLsVRev&#10;EpbG8XhsItDnRZ3qFQ5Qd0Wd5B5z2jQZ/R6jzklw6V6Mv/+ok4sNODtwCj71cacqwXCRc98qwWCR&#10;7j0W/colGFHs42xeppFdZH7DTrjp+a5t45SIKjCgbsK3+QwJlkKHm7oYQpVgzHHEywUiMgN1sArD&#10;ZHHosKWu1ABjpNtNlRqh77hcGoJhT1UYuhhEJny+myqMI1Ntpi7mVJKxt6aN88fQRWVQtOFBAlIa&#10;np+5FMqjbeiNbI5rewGdI/NZnOfaOHDE4I0MVxD7oYccBNscGwC+Pr7ssTnparXclFThVhdikC+j&#10;isPYgXhpWp1yxKgGkUnX5/kv6pVe/8ULnFAdrn6R/4IEPJf1JaNvlDZ/fzGNdqbND1dUcaZ8R4pa&#10;ViZqaXyTTDUn3X8fhVQ4km9qLQvPG2mtI8g9wLbcq7aREwbQVKW2KJ/y2ar0uwpvobZ0umKOdp6n&#10;tuqV71ZtfS+aTPTSHFkIuVdtjeN6UltZD603WyTem2rLHvQbqa0nhOfGKAsjtY380A15L23stn7k&#10;BQEMC+22MbbaWG9y33SzPVprp1N+5bvV2v4z6hdutsb1O2ltW2vhgUqt5TJ12XqgtHacyc4IHId8&#10;6jRHsL99/XmDvgdZANh6hW76eyOsW/ixf9HFHqpLAqXhoU/uMPRToB0CGt3xl12kwegYm/1lHA/H&#10;wYEYfYUq9n3OsmlOOaKGgnZNk997/q5iVcyqqliiknKFYi2UFa7TOQrjU9RD0JX0uFUnhS5v0AGD&#10;qrFoNCF8w74Kw7ZGw4Bss4APBBLJNtWUvp/6dui50TAMfXfouZf28CKajofvxyIIwsuL8cVlpwPk&#10;kmePGlPu3kJLxkuaQBqVImjI6dSouH7sQKC+vERlfHExifRGYrBvlajUbSVqbnVOQ7JMpqK11jTL&#10;V0gs6Ps3bGOAb9s0CJwpa2k3F/l+TYNAEqObpSKBVB0WpdcMIEsmfB02x55LNkEqT89OfjIDr9Je&#10;dTIDpp/suzQDcKalGfh4f3ORZFla6HTFzp7JV+5jQv1X7Ev/ng9Na8/es93IpiZP9gvqWrJGQP7c&#10;UrEv683pbaQxyX0UZgVRb3dGs9WDK+H66pUQvZganb2dQ80KKLR/enEfRphRg9GxYyfq6yBpNubs&#10;pfE76cxxIifo4wV1jhiueShS7ONuqztHRGHk96Lcu2KQ5FODzjENOuRP1LUXqmCH+M9uBS2Z8hhq&#10;oNn9zXJ2kf7W7M4REbSWX3EjuCTsjGtkaPOVT+BDtp8I3eqN+mc1TBt5+04hDNFCzAgdx2OHEnl9&#10;7v1B0yaVwZI7FHrtoQKcWsonrtBNm23k7TuF0Iffza/Fkg9mJC+MZeLTlz6teeBGQgZmrsctjxDI&#10;Nub2nRoHMZw6cQVHmsxDba9Epyy5gqdeSKZLV8W0sbbv5Dtx6EretDBFmpe0FI2Bw5AOosHJY6YR&#10;RLbkVocpfqyQdbjoCwgEL9cxi4LgV8pTd5FZ8ghdVy6QppbjOMfImSsgKcyCjtw6ESXHiDcdUSdL&#10;yA8aatNeinbVlYEPbCiPdMw1hP6UiycXG7k4LVP6sf6UYFoHedt5BsLDNXaGRKng+2isQUNEsZ3R&#10;22yQ1Bo+isBr2wzDeggIdL0hl2Yphe8a09RG3r6TQxnREKy4DYS1NHkYtTlUQzojWAE59Tby9p0c&#10;ygg7TkckG7RtMOohXOHpFko2XEbbBFI1OkRrI2/fyaFq5UUhXYt2o+zCUR17mgh2hqTSkbfz7GlB&#10;GZRwb6OsrVeXDmHM4XEzk8ukTEObVwholU3eYjDkyFj5Y5assW90hUCYzWZLckSkt6/jZFFEekPc&#10;ku56F91SCfaJ5Lo11KstFW1j0HiDN+e9usuNnWw7D7Z4svMrKdG9KNjk9Nj6U6m4wXvQdtXkHrSG&#10;NWjD0OqBt1pCQRwVsL5KCeN43GgTe95Zonql91QCP/Xhv6QE4Bs3zl2+n4rJRJmVVtL3yGoePldE&#10;6Krzu5z46iQlv2HjHFclmNP2NzkoqV7+4y7Ij/LPWHFSVf3mFv1QVvOes6j1L4O9+x8AAAD//wMA&#10;UEsDBBQABgAIAAAAIQDU73gz2wAAAAUBAAAPAAAAZHJzL2Rvd25yZXYueG1sTI9BS8NAEIXvgv9h&#10;mYI3u2lQaWM2pQjxEOLBthSP2+yYDWZnQ3bbxn/v6MVeZhje8N738vXkenHGMXSeFCzmCQikxpuO&#10;WgX7XXm/BBGiJqN7T6jgGwOsi9ubXGfGX+gdz9vYCjahkGkFNsYhkzI0Fp0Ocz8gsfbpR6cjn2Mr&#10;zagvbO56mSbJk3S6I06wesAXi83X9uQ45K2uarl7DVUZDrbeVH6flh9K3c2mzTOIiFP8f4ZffEaH&#10;gpmO/kQmiF4BF4l/k7XV4+oBxFEB7xRkkctr+uIHAAD//wMAUEsBAi0AFAAGAAgAAAAhALaDOJL+&#10;AAAA4QEAABMAAAAAAAAAAAAAAAAAAAAAAFtDb250ZW50X1R5cGVzXS54bWxQSwECLQAUAAYACAAA&#10;ACEAOP0h/9YAAACUAQAACwAAAAAAAAAAAAAAAAAvAQAAX3JlbHMvLnJlbHNQSwECLQAUAAYACAAA&#10;ACEATiH/TDwNAABhTAAADgAAAAAAAAAAAAAAAAAuAgAAZHJzL2Uyb0RvYy54bWxQSwECLQAUAAYA&#10;CAAAACEA1O94M9sAAAAFAQAADwAAAAAAAAAAAAAAAACWDwAAZHJzL2Rvd25yZXYueG1sUEsFBgAA&#10;AAAEAAQA8wAAAJ4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21;height:37731;visibility:visible">
              <v:fill o:detectmouseclick="t"/>
              <v:path o:connecttype="none"/>
            </v:shape>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10" o:spid="_x0000_s1028" type="#_x0000_t53" style="position:absolute;left:26668;top:25972;width:16003;height:6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lxcIA&#10;AADbAAAADwAAAGRycy9kb3ducmV2LnhtbESPzWrDMBCE74G+g9hCb4ncHEzrWA4lwa2PzQ/kurE2&#10;toi1MpYSu29fFQI9DjPzDZOvJ9uJOw3eOFbwukhAENdOG24UHA/l/A2ED8gaO8ek4Ic8rIunWY6Z&#10;diPv6L4PjYgQ9hkqaEPoMyl93ZJFv3A9cfQubrAYohwaqQccI9x2cpkkqbRoOC602NOmpfq6v1kF&#10;5+YrTfXn94nKtJRVYjbb2hulXp6njxWIQFP4Dz/alVawfIe/L/EH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iXFwgAAANsAAAAPAAAAAAAAAAAAAAAAAJgCAABkcnMvZG93&#10;bnJldi54bWxQSwUGAAAAAAQABAD1AAAAhwMAAAAA&#10;" filled="f" stroked="f"/>
            <v:shape id="DownRibbonSharp" o:spid="_x0000_s1029" style="position:absolute;left:39625;top:17146;width:20576;height:653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myr4A&#10;AADbAAAADwAAAGRycy9kb3ducmV2LnhtbERPzYrCMBC+C75DGGFvmrq6RapRRBC8LGj1AYZmbKvN&#10;pDTZWt9+57Cwx4/vf7MbXKN66kLt2cB8loAiLrytuTRwux6nK1AhIltsPJOBNwXYbcejDWbWv/hC&#10;fR5LJSEcMjRQxdhmWoeiIodh5lti4e6+cxgFdqW2Hb4k3DX6M0lS7bBmaaiwpUNFxTP/cdJ7vrz1&#10;YfmVYhGH5+k7ffQhvxrzMRn2a1CRhvgv/nOfrIGFrJcv8gP0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zJsq+AAAA2wAAAA8AAAAAAAAAAAAAAAAAmAIAAGRycy9kb3ducmV2&#10;LnhtbFBLBQYAAAAABAAEAPUAAACDAwAAAAA=&#10;" adj="-11796480,,5400" path="m,l8100,r,2700l13500,2700,13500,r8100,l18900,9450r2700,9450l16200,18900r,2700l5400,21600r,-2700l,18900,2700,9450,,xem8100,2700nfl5400,2700r,16200em5400,2700nfl8100,em13500,2700nfl16200,2700r,16200em16200,2700nfl13500,e" fillcolor="purple" strokecolor="#f9f">
              <v:fill opacity="57671f" color2="#4f004f" rotate="t" focusposition=".5,.5" focussize="" focus="100%" type="gradientRadial">
                <o:fill v:ext="view" type="gradientCenter"/>
              </v:fill>
              <v:stroke joinstyle="miter"/>
              <v:shadow on="t" offset="6pt,6pt"/>
              <v:formulas/>
              <v:path o:extrusionok="f" o:connecttype="custom" o:connectlocs="1028817,81736;257204,286076;1028817,653888;1800429,286076" o:connectangles="270,180,90,0" textboxrect="5400,2700,16200,21600"/>
              <o:lock v:ext="edit" verticies="t"/>
              <v:textbox>
                <w:txbxContent>
                  <w:p w:rsidR="006B34AB" w:rsidRPr="0045659B" w:rsidRDefault="006B34AB" w:rsidP="00C12D0B">
                    <w:pPr>
                      <w:autoSpaceDE w:val="0"/>
                      <w:autoSpaceDN w:val="0"/>
                      <w:adjustRightInd w:val="0"/>
                      <w:jc w:val="center"/>
                      <w:rPr>
                        <w:rFonts w:ascii="Times New Roman" w:hAnsi="Times New Roman" w:cs="Times New Roman"/>
                        <w:b/>
                        <w:bCs/>
                        <w:color w:val="FFFFFF"/>
                        <w:sz w:val="24"/>
                        <w:szCs w:val="32"/>
                      </w:rPr>
                    </w:pPr>
                    <w:r>
                      <w:rPr>
                        <w:rFonts w:ascii="Times New Roman" w:hAnsi="Times New Roman" w:cs="Times New Roman"/>
                        <w:b/>
                        <w:bCs/>
                        <w:color w:val="FFFFFF"/>
                        <w:sz w:val="24"/>
                        <w:szCs w:val="32"/>
                      </w:rPr>
                      <w:t>9</w:t>
                    </w:r>
                    <w:r w:rsidRPr="0045659B">
                      <w:rPr>
                        <w:rFonts w:ascii="Times New Roman" w:hAnsi="Times New Roman" w:cs="Times New Roman"/>
                        <w:b/>
                        <w:bCs/>
                        <w:color w:val="FFFFFF"/>
                        <w:sz w:val="24"/>
                        <w:szCs w:val="32"/>
                      </w:rPr>
                      <w:t xml:space="preserve"> prokurorë</w:t>
                    </w:r>
                  </w:p>
                  <w:p w:rsidR="006B34AB" w:rsidRDefault="006B34AB" w:rsidP="00C12D0B"/>
                </w:txbxContent>
              </v:textbox>
            </v:shape>
            <v:shape id="DownRibbonSharp" o:spid="_x0000_s1030" style="position:absolute;top:17137;width:18285;height:654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sMMA&#10;AADbAAAADwAAAGRycy9kb3ducmV2LnhtbESPQWvCQBSE7wX/w/KE3uomLSkaXUVChV6r7cHbM/vM&#10;hmTfxuyapP++Wyj0OMzMN8xmN9lWDNT72rGCdJGAIC6drrlS8Hk6PC1B+ICssXVMCr7Jw247e9hg&#10;rt3IHzQcQyUihH2OCkwIXS6lLw1Z9AvXEUfv6nqLIcq+krrHMcJtK5+T5FVarDkuGOyoMFQ2x7tV&#10;cPryhaTmLb2YS9YktzZbnc+dUo/zab8GEWgK/+G/9rtW8JL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csMMAAADbAAAADwAAAAAAAAAAAAAAAACYAgAAZHJzL2Rv&#10;d25yZXYueG1sUEsFBgAAAAAEAAQA9QAAAIgDAAAAAA==&#10;" adj="-11796480,,5400" path="m,l8100,r,2700l13500,2700,13500,r8100,l18900,9450r2700,9450l16200,18900r,2700l5400,21600r,-2700l,18900,2700,9450,,xem8100,2700nfl5400,2700r,16200em5400,2700nfl8100,em13500,2700nfl16200,2700r,16200em16200,2700nfl13500,e" fillcolor="#9c0" strokecolor="#d6e3bc">
              <v:fill color2="#6d9200" rotate="t" focusposition=".5,.5" focussize="" focus="100%" type="gradientRadial">
                <o:fill v:ext="view" type="gradientCenter"/>
              </v:fill>
              <v:stroke joinstyle="miter"/>
              <v:shadow on="t" offset="6pt,6pt"/>
              <v:formulas/>
              <v:path o:extrusionok="f" o:connecttype="custom" o:connectlocs="914263,81845;228566,286458;914263,654761;1599959,286458" o:connectangles="270,180,90,0" textboxrect="5400,2700,16200,21600"/>
              <o:lock v:ext="edit" verticies="t"/>
              <v:textbox>
                <w:txbxContent>
                  <w:p w:rsidR="006B34AB" w:rsidRPr="0045659B" w:rsidRDefault="006B34AB" w:rsidP="00C12D0B">
                    <w:pPr>
                      <w:autoSpaceDE w:val="0"/>
                      <w:autoSpaceDN w:val="0"/>
                      <w:adjustRightInd w:val="0"/>
                      <w:jc w:val="center"/>
                      <w:rPr>
                        <w:rFonts w:ascii="Times New Roman" w:hAnsi="Times New Roman" w:cs="Times New Roman"/>
                        <w:b/>
                        <w:bCs/>
                        <w:color w:val="000000"/>
                        <w:sz w:val="28"/>
                      </w:rPr>
                    </w:pPr>
                    <w:r>
                      <w:rPr>
                        <w:rFonts w:ascii="Times New Roman" w:hAnsi="Times New Roman" w:cs="Times New Roman"/>
                        <w:b/>
                        <w:sz w:val="28"/>
                      </w:rPr>
                      <w:t>18</w:t>
                    </w:r>
                    <w:r w:rsidRPr="0045659B">
                      <w:rPr>
                        <w:rFonts w:ascii="Times New Roman" w:hAnsi="Times New Roman" w:cs="Times New Roman"/>
                        <w:b/>
                        <w:bCs/>
                        <w:color w:val="000000"/>
                        <w:sz w:val="28"/>
                      </w:rPr>
                      <w:t>gjyqtarë</w:t>
                    </w:r>
                  </w:p>
                  <w:p w:rsidR="006B34AB" w:rsidRDefault="006B34AB" w:rsidP="00C12D0B"/>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31" type="#_x0000_t67" style="position:absolute;left:28959;top:13400;width:4530;height:1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4jcQA&#10;AADbAAAADwAAAGRycy9kb3ducmV2LnhtbESP3WrCQBSE7wu+w3IE7+rGCKVEVxHFIlJS/AFvD9lj&#10;Es2eDbtbk759t1DwcpiZb5j5sjeNeJDztWUFk3ECgriwuuZSwfm0fX0H4QOyxsYyKfghD8vF4GWO&#10;mbYdH+hxDKWIEPYZKqhCaDMpfVGRQT+2LXH0rtYZDFG6UmqHXYSbRqZJ8iYN1hwXKmxpXVFxP34b&#10;Be4j7Xafm5yu+8PpdtmXee2+cqVGw341AxGoD8/wf3unFUxT+Ps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7OI3EAAAA2wAAAA8AAAAAAAAAAAAAAAAAmAIAAGRycy9k&#10;b3ducmV2LnhtbFBLBQYAAAAABAAEAPUAAACJAwAAAAA=&#10;" adj="16232" filled="f" stroked="f"/>
            <v:oval id="Oval 14" o:spid="_x0000_s1032" style="position:absolute;left:3046;top:27430;width:16957;height:103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Bi8IA&#10;AADbAAAADwAAAGRycy9kb3ducmV2LnhtbESPS2vDMBCE74X+B7GF3hr5ASG4UUL6gp4MefS+tba2&#10;EmtlLNV2/n0UCOQ4zM43O8v1ZFsxUO+NYwXpLAFBXDltuFZw2H+9LED4gKyxdUwKzuRhvXp8WGKh&#10;3chbGnahFhHCvkAFTQhdIaWvGrLoZ64jjt6f6y2GKPta6h7HCLetzJJkLi0ajg0NdvTeUHXa/dv4&#10;xvhzfHN197H5LPfGZDYt6TdV6vlp2ryCCDSF+/Et/a0V5Dlct0QA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cGLwgAAANsAAAAPAAAAAAAAAAAAAAAAAJgCAABkcnMvZG93&#10;bnJldi54bWxQSwUGAAAAAAQABAD1AAAAhwMAAAAA&#10;" fillcolor="#f93" strokecolor="#fabf8f">
              <v:fill color2="#764718" rotate="t" focusposition=".5,.5" focussize="" focus="100%" type="gradientRadial"/>
              <v:textbox>
                <w:txbxContent>
                  <w:p w:rsidR="006B34AB" w:rsidRPr="0045659B" w:rsidRDefault="006B34AB" w:rsidP="00C12D0B">
                    <w:pPr>
                      <w:pStyle w:val="Heading2"/>
                      <w:jc w:val="center"/>
                      <w:rPr>
                        <w:color w:val="000000"/>
                        <w:szCs w:val="28"/>
                      </w:rPr>
                    </w:pPr>
                    <w:r w:rsidRPr="0045659B">
                      <w:rPr>
                        <w:color w:val="000000"/>
                        <w:szCs w:val="28"/>
                      </w:rPr>
                      <w:t xml:space="preserve">Viti I </w:t>
                    </w:r>
                  </w:p>
                  <w:p w:rsidR="006B34AB" w:rsidRPr="0045659B" w:rsidRDefault="006B34AB" w:rsidP="00C12D0B">
                    <w:pPr>
                      <w:jc w:val="center"/>
                      <w:rPr>
                        <w:rFonts w:ascii="Times New Roman" w:hAnsi="Times New Roman" w:cs="Times New Roman"/>
                        <w:b/>
                        <w:color w:val="000000"/>
                        <w:sz w:val="24"/>
                        <w:szCs w:val="28"/>
                      </w:rPr>
                    </w:pPr>
                    <w:r>
                      <w:rPr>
                        <w:rFonts w:ascii="Times New Roman" w:hAnsi="Times New Roman" w:cs="Times New Roman"/>
                        <w:b/>
                        <w:color w:val="000000"/>
                        <w:sz w:val="24"/>
                        <w:szCs w:val="28"/>
                      </w:rPr>
                      <w:t>(10</w:t>
                    </w:r>
                    <w:r w:rsidRPr="0045659B">
                      <w:rPr>
                        <w:rFonts w:ascii="Times New Roman" w:hAnsi="Times New Roman" w:cs="Times New Roman"/>
                        <w:b/>
                        <w:color w:val="000000"/>
                        <w:sz w:val="24"/>
                        <w:szCs w:val="28"/>
                      </w:rPr>
                      <w:t xml:space="preserve"> gjyqtarë)       (</w:t>
                    </w:r>
                    <w:r>
                      <w:rPr>
                        <w:rFonts w:ascii="Times New Roman" w:hAnsi="Times New Roman" w:cs="Times New Roman"/>
                        <w:b/>
                        <w:color w:val="000000"/>
                        <w:sz w:val="24"/>
                        <w:szCs w:val="28"/>
                      </w:rPr>
                      <w:t>6</w:t>
                    </w:r>
                    <w:r w:rsidRPr="0045659B">
                      <w:rPr>
                        <w:rFonts w:ascii="Times New Roman" w:hAnsi="Times New Roman" w:cs="Times New Roman"/>
                        <w:b/>
                        <w:color w:val="000000"/>
                        <w:sz w:val="24"/>
                        <w:szCs w:val="28"/>
                      </w:rPr>
                      <w:t xml:space="preserve"> prokurorë)</w:t>
                    </w:r>
                  </w:p>
                  <w:p w:rsidR="006B34AB" w:rsidRPr="00DE64E2" w:rsidRDefault="006B34AB" w:rsidP="00C12D0B">
                    <w:pPr>
                      <w:rPr>
                        <w:b/>
                        <w:sz w:val="28"/>
                        <w:szCs w:val="28"/>
                      </w:rPr>
                    </w:pPr>
                  </w:p>
                  <w:p w:rsidR="006B34AB" w:rsidRPr="00955794" w:rsidRDefault="006B34AB" w:rsidP="00C12D0B">
                    <w:pPr>
                      <w:jc w:val="center"/>
                      <w:rPr>
                        <w:b/>
                        <w:color w:val="000000"/>
                        <w:sz w:val="28"/>
                        <w:szCs w:val="28"/>
                      </w:rPr>
                    </w:pPr>
                  </w:p>
                </w:txbxContent>
              </v:textbox>
            </v:oval>
            <v:oval id="Oval 15" o:spid="_x0000_s1033" style="position:absolute;left:21340;top:27430;width:18276;height:102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gHsIA&#10;AADbAAAADwAAAGRycy9kb3ducmV2LnhtbESP3YrCMBSE7xd8h3AE79ZUXfypRhHFXS+8sfoAh+bY&#10;FJuT0sRa336zsODlMDPfMKtNZyvRUuNLxwpGwwQEce50yYWC6+XwOQfhA7LGyjEpeJGHzbr3scJU&#10;uyefqc1CISKEfYoKTAh1KqXPDVn0Q1cTR+/mGoshyqaQusFnhNtKjpNkKi2WHBcM1rQzlN+zh1Ww&#10;yI9mZk7tN7pDp/fVbnKj649Sg363XYII1IV3+L991AomX/D3Jf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OAewgAAANsAAAAPAAAAAAAAAAAAAAAAAJgCAABkcnMvZG93&#10;bnJldi54bWxQSwUGAAAAAAQABAD1AAAAhwMAAAAA&#10;" fillcolor="blue" strokecolor="#548dd4">
              <v:fill color2="#000076" rotate="t" focusposition=".5,.5" focussize="" focus="100%" type="gradientRadial"/>
              <v:textbox>
                <w:txbxContent>
                  <w:p w:rsidR="006B34AB" w:rsidRPr="0045659B" w:rsidRDefault="006B34AB" w:rsidP="00C12D0B">
                    <w:pPr>
                      <w:jc w:val="center"/>
                      <w:rPr>
                        <w:rFonts w:ascii="Times New Roman" w:hAnsi="Times New Roman" w:cs="Times New Roman"/>
                        <w:b/>
                        <w:color w:val="000000"/>
                        <w:sz w:val="24"/>
                        <w:szCs w:val="28"/>
                      </w:rPr>
                    </w:pPr>
                    <w:r w:rsidRPr="0045659B">
                      <w:rPr>
                        <w:rFonts w:ascii="Times New Roman" w:hAnsi="Times New Roman" w:cs="Times New Roman"/>
                        <w:b/>
                        <w:sz w:val="24"/>
                      </w:rPr>
                      <w:t>Viti II</w:t>
                    </w:r>
                    <w:r w:rsidRPr="0045659B">
                      <w:rPr>
                        <w:rFonts w:ascii="Times New Roman" w:hAnsi="Times New Roman" w:cs="Times New Roman"/>
                        <w:b/>
                        <w:bCs/>
                        <w:color w:val="000000"/>
                        <w:sz w:val="24"/>
                      </w:rPr>
                      <w:br/>
                    </w:r>
                    <w:r>
                      <w:rPr>
                        <w:rFonts w:ascii="Times New Roman" w:hAnsi="Times New Roman" w:cs="Times New Roman"/>
                        <w:b/>
                        <w:color w:val="000000"/>
                        <w:sz w:val="24"/>
                        <w:szCs w:val="28"/>
                      </w:rPr>
                      <w:t>(0</w:t>
                    </w:r>
                    <w:r w:rsidRPr="0045659B">
                      <w:rPr>
                        <w:rFonts w:ascii="Times New Roman" w:hAnsi="Times New Roman" w:cs="Times New Roman"/>
                        <w:b/>
                        <w:color w:val="000000"/>
                        <w:sz w:val="24"/>
                        <w:szCs w:val="28"/>
                      </w:rPr>
                      <w:t xml:space="preserve"> gjyqtarë)       (</w:t>
                    </w:r>
                    <w:r>
                      <w:rPr>
                        <w:rFonts w:ascii="Times New Roman" w:hAnsi="Times New Roman" w:cs="Times New Roman"/>
                        <w:b/>
                        <w:color w:val="000000"/>
                        <w:sz w:val="24"/>
                        <w:szCs w:val="28"/>
                      </w:rPr>
                      <w:t>0</w:t>
                    </w:r>
                    <w:r w:rsidRPr="0045659B">
                      <w:rPr>
                        <w:rFonts w:ascii="Times New Roman" w:hAnsi="Times New Roman" w:cs="Times New Roman"/>
                        <w:b/>
                        <w:color w:val="000000"/>
                        <w:sz w:val="24"/>
                        <w:szCs w:val="28"/>
                      </w:rPr>
                      <w:t xml:space="preserve"> prokurorë)</w:t>
                    </w:r>
                  </w:p>
                  <w:p w:rsidR="006B34AB" w:rsidRDefault="006B34AB" w:rsidP="00C12D0B">
                    <w:pPr>
                      <w:autoSpaceDE w:val="0"/>
                      <w:autoSpaceDN w:val="0"/>
                      <w:adjustRightInd w:val="0"/>
                      <w:jc w:val="center"/>
                      <w:rPr>
                        <w:b/>
                        <w:bCs/>
                        <w:color w:val="000000"/>
                        <w:sz w:val="40"/>
                        <w:szCs w:val="40"/>
                      </w:rPr>
                    </w:pPr>
                    <w:r>
                      <w:rPr>
                        <w:b/>
                        <w:bCs/>
                        <w:color w:val="000000"/>
                        <w:sz w:val="40"/>
                        <w:szCs w:val="40"/>
                      </w:rPr>
                      <w:br/>
                    </w:r>
                  </w:p>
                </w:txbxContent>
              </v:textbox>
            </v:oval>
            <v:oval id="Oval 16" o:spid="_x0000_s1034" style="position:absolute;left:41143;top:28573;width:15847;height:91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P1cYA&#10;AADbAAAADwAAAGRycy9kb3ducmV2LnhtbESPQWvCQBSE74X+h+UVeilm09SKRFcpiqCHHoyC5PbI&#10;PpNo9m3IbjX217sFocdhZr5hpvPeNOJCnastK3iPYhDEhdU1lwr2u9VgDMJ5ZI2NZVJwIwfz2fPT&#10;FFNtr7ylS+ZLESDsUlRQed+mUrqiIoMusi1x8I62M+iD7EqpO7wGuGlkEscjabDmsFBhS4uKinP2&#10;YxTknCz3+vC2Gw/b4ybLf79PyU0r9frSf01AeOr9f/jRXmsFH5/w9yX8A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AP1cYAAADbAAAADwAAAAAAAAAAAAAAAACYAgAAZHJz&#10;L2Rvd25yZXYueG1sUEsFBgAAAAAEAAQA9QAAAIsDAAAAAA==&#10;" fillcolor="fuchsia" strokecolor="#f9f">
              <v:fill color2="#760076" rotate="t" focusposition=".5,.5" focussize="" focus="100%" type="gradientRadial"/>
              <v:textbox>
                <w:txbxContent>
                  <w:p w:rsidR="006B34AB" w:rsidRPr="00517F41" w:rsidRDefault="006B34AB" w:rsidP="00C12D0B">
                    <w:pPr>
                      <w:autoSpaceDE w:val="0"/>
                      <w:autoSpaceDN w:val="0"/>
                      <w:adjustRightInd w:val="0"/>
                      <w:jc w:val="center"/>
                      <w:rPr>
                        <w:rFonts w:ascii="Times New Roman" w:hAnsi="Times New Roman" w:cs="Times New Roman"/>
                        <w:b/>
                        <w:sz w:val="24"/>
                        <w:szCs w:val="24"/>
                      </w:rPr>
                    </w:pPr>
                    <w:r w:rsidRPr="00517F41">
                      <w:rPr>
                        <w:rFonts w:ascii="Times New Roman" w:hAnsi="Times New Roman" w:cs="Times New Roman"/>
                        <w:b/>
                        <w:bCs/>
                        <w:color w:val="FFFFFF"/>
                        <w:sz w:val="24"/>
                        <w:szCs w:val="24"/>
                      </w:rPr>
                      <w:t xml:space="preserve">Viti III            </w:t>
                    </w:r>
                    <w:r>
                      <w:rPr>
                        <w:rFonts w:ascii="Times New Roman" w:hAnsi="Times New Roman" w:cs="Times New Roman"/>
                        <w:b/>
                        <w:sz w:val="24"/>
                        <w:szCs w:val="24"/>
                      </w:rPr>
                      <w:t>(8</w:t>
                    </w:r>
                    <w:r w:rsidRPr="00517F41">
                      <w:rPr>
                        <w:rFonts w:ascii="Times New Roman" w:hAnsi="Times New Roman" w:cs="Times New Roman"/>
                        <w:b/>
                        <w:sz w:val="24"/>
                        <w:szCs w:val="24"/>
                      </w:rPr>
                      <w:t xml:space="preserve"> gjyqtarë)       (</w:t>
                    </w:r>
                    <w:r>
                      <w:rPr>
                        <w:rFonts w:ascii="Times New Roman" w:hAnsi="Times New Roman" w:cs="Times New Roman"/>
                        <w:b/>
                        <w:sz w:val="24"/>
                        <w:szCs w:val="24"/>
                      </w:rPr>
                      <w:t>3</w:t>
                    </w:r>
                    <w:r w:rsidRPr="00517F41">
                      <w:rPr>
                        <w:rFonts w:ascii="Times New Roman" w:hAnsi="Times New Roman" w:cs="Times New Roman"/>
                        <w:b/>
                        <w:sz w:val="24"/>
                        <w:szCs w:val="24"/>
                      </w:rPr>
                      <w:t xml:space="preserve"> prokuror)</w:t>
                    </w:r>
                  </w:p>
                  <w:p w:rsidR="006B34AB" w:rsidRPr="00A84427" w:rsidRDefault="006B34AB" w:rsidP="00C12D0B">
                    <w:pPr>
                      <w:autoSpaceDE w:val="0"/>
                      <w:autoSpaceDN w:val="0"/>
                      <w:adjustRightInd w:val="0"/>
                      <w:jc w:val="center"/>
                      <w:rPr>
                        <w:b/>
                        <w:bCs/>
                        <w:color w:val="000000"/>
                      </w:rPr>
                    </w:pPr>
                  </w:p>
                </w:txbxContent>
              </v:textbox>
            </v:oval>
            <v:line id="Line 17" o:spid="_x0000_s1035" style="position:absolute;flip:x;visibility:visible" from="14475,10284" to="27848,2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zsMAAADbAAAADwAAAGRycy9kb3ducmV2LnhtbESPQWvCQBSE7wX/w/KE3upGi7akriJC&#10;S/Eg1daDt0f2mSzNvg3Z1xj/vSsIPQ4z8w0zX/a+Vh210QU2MB5loIiLYB2XBn6+359eQUVBtlgH&#10;JgMXirBcDB7mmNtw5h11eylVgnDM0UAl0uRax6Iij3EUGuLknULrUZJsS21bPCe4r/Uky2bao+O0&#10;UGFD64qK3/2fNyAST9PtBvGlKA9dd3SXL//hjHkc9qs3UEK9/Ifv7U9r4HkGty/pB+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Ph87DAAAA2wAAAA8AAAAAAAAAAAAA&#10;AAAAoQIAAGRycy9kb3ducmV2LnhtbFBLBQYAAAAABAAEAPkAAACRAwAAAAA=&#10;">
              <v:stroke endarrow="block"/>
              <v:shadow color="#cbbd83"/>
            </v:line>
            <v:line id="Line 18" o:spid="_x0000_s1036" style="position:absolute;visibility:visible" from="28195,10284" to="45717,2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rI8UAAADbAAAADwAAAGRycy9kb3ducmV2LnhtbESPQWsCMRSE70L/Q3iF3tzsKmjZGkUq&#10;ghR60BZab4/Nc3fp5iUmcV3/fVMoeBxm5htmsRpMJ3ryobWsoMhyEMSV1S3XCj4/tuNnECEia+ws&#10;k4IbBVgtH0YLLLW98p76Q6xFgnAoUUEToyulDFVDBkNmHXHyTtYbjEn6WmqP1wQ3nZzk+UwabDkt&#10;NOjotaHq53AxCt56dyxu22J9cvuvb+vez35znCn19DisX0BEGuI9/N/eaQXTO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SrI8UAAADbAAAADwAAAAAAAAAA&#10;AAAAAAChAgAAZHJzL2Rvd25yZXYueG1sUEsFBgAAAAAEAAQA+QAAAJMDAAAAAA==&#10;">
              <v:stroke endarrow="block"/>
              <v:shadow color="#cbbd83"/>
            </v:line>
            <v:shape id="PubBanner" o:spid="_x0000_s1037" style="position:absolute;left:7619;width:40380;height:1713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0nL0A&#10;AADbAAAADwAAAGRycy9kb3ducmV2LnhtbERPy6rCMBDdC/5DGMGdpj65VqOIqLi1CnJ3QzO2xWZS&#10;mqjVrzcLweXhvBerxpTiQbUrLCsY9CMQxKnVBWcKzqdd7w+E88gaS8uk4EUOVst2a4Gxtk8+0iPx&#10;mQgh7GJUkHtfxVK6NCeDrm8r4sBdbW3QB1hnUtf4DOGmlMMomkqDBYeGHCva5JTekrtR8E8bcxlf&#10;isl5q6f6uE386b2fKdXtNOs5CE+N/4m/7oNWMApjw5f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NG0nL0AAADbAAAADwAAAAAAAAAAAAAAAACYAgAAZHJzL2Rvd25yZXYu&#10;eG1sUEsFBgAAAAAEAAQA9QAAAIIDAAAAAA==&#10;" adj="-11796480,,5400" path="m18785,4525v-101,-634,-291,-1166,-633,-1749c17708,2243,17125,1749,16453,1318,15667,925,14792,583,13816,342,12840,152,11826,,10800,,9735,,8708,152,7732,342,6807,583,5932,925,5159,1318,4474,1749,3891,2243,3409,2776v-291,583,-545,1115,-583,1749l2826,6084,,9152r684,4576l,21600,2826,18684r,-1610c2864,16491,3118,15908,3409,15325v482,-533,1065,-1014,1750,-1458c5932,13474,6807,13145,7732,12891v976,-190,2003,-291,3068,-342c11826,12600,12840,12701,13816,12891v976,254,1851,583,2637,976c17125,14311,17708,14792,18152,15325v342,583,532,1166,633,1749l18785,18684r2815,2916l20928,13728r672,-4576l18785,6084r,-1559xe" fillcolor="#c9f" strokecolor="#eaf1dd">
              <v:fill color2="#755892" rotate="t" focusposition=".5,.5" focussize="" focus="100%" type="gradientRadial">
                <o:fill v:ext="view" type="gradientCenter"/>
              </v:fill>
              <v:stroke joinstyle="miter"/>
              <v:shadow on="t" offset="6pt,6pt"/>
              <v:formulas/>
              <v:path o:connecttype="custom" o:connectlocs="2019015,0;127871,1089169;2019015,995628;3912401,1089169" o:connectangles="270,180,90,0" textboxrect="2826,4525,18785,12549"/>
              <o:lock v:ext="edit" verticies="t"/>
              <v:textbox>
                <w:txbxContent>
                  <w:p w:rsidR="006B34AB" w:rsidRDefault="006B34AB" w:rsidP="00C12D0B">
                    <w:pPr>
                      <w:pStyle w:val="BodyText2"/>
                      <w:spacing w:line="240" w:lineRule="auto"/>
                      <w:jc w:val="center"/>
                      <w:rPr>
                        <w:b/>
                        <w:sz w:val="32"/>
                        <w:szCs w:val="32"/>
                      </w:rPr>
                    </w:pPr>
                    <w:r w:rsidRPr="009F00AE">
                      <w:rPr>
                        <w:b/>
                        <w:sz w:val="32"/>
                        <w:szCs w:val="32"/>
                      </w:rPr>
                      <w:t>Kandidatë p</w:t>
                    </w:r>
                    <w:r>
                      <w:rPr>
                        <w:b/>
                        <w:sz w:val="32"/>
                        <w:szCs w:val="32"/>
                      </w:rPr>
                      <w:t>ë</w:t>
                    </w:r>
                    <w:r w:rsidRPr="009F00AE">
                      <w:rPr>
                        <w:b/>
                        <w:sz w:val="32"/>
                        <w:szCs w:val="32"/>
                      </w:rPr>
                      <w:t>r mag</w:t>
                    </w:r>
                    <w:r>
                      <w:rPr>
                        <w:b/>
                        <w:sz w:val="32"/>
                        <w:szCs w:val="32"/>
                      </w:rPr>
                      <w:t>j</w:t>
                    </w:r>
                    <w:r w:rsidRPr="009F00AE">
                      <w:rPr>
                        <w:b/>
                        <w:sz w:val="32"/>
                        <w:szCs w:val="32"/>
                      </w:rPr>
                      <w:t>istrat</w:t>
                    </w:r>
                    <w:r>
                      <w:rPr>
                        <w:b/>
                        <w:sz w:val="32"/>
                        <w:szCs w:val="32"/>
                      </w:rPr>
                      <w:t>ë</w:t>
                    </w:r>
                  </w:p>
                  <w:p w:rsidR="006B34AB" w:rsidRPr="009F00AE" w:rsidRDefault="006B34AB" w:rsidP="00C12D0B">
                    <w:pPr>
                      <w:pStyle w:val="BodyText2"/>
                      <w:spacing w:line="240" w:lineRule="auto"/>
                      <w:jc w:val="center"/>
                      <w:rPr>
                        <w:b/>
                        <w:sz w:val="32"/>
                        <w:szCs w:val="32"/>
                      </w:rPr>
                    </w:pPr>
                    <w:r>
                      <w:rPr>
                        <w:b/>
                        <w:sz w:val="32"/>
                        <w:szCs w:val="32"/>
                      </w:rPr>
                      <w:t xml:space="preserve">27 </w:t>
                    </w:r>
                    <w:r w:rsidRPr="009F00AE">
                      <w:rPr>
                        <w:b/>
                        <w:sz w:val="32"/>
                        <w:szCs w:val="32"/>
                      </w:rPr>
                      <w:t>vetë</w:t>
                    </w:r>
                  </w:p>
                  <w:p w:rsidR="006B34AB" w:rsidRDefault="006B34AB" w:rsidP="00C12D0B">
                    <w:pPr>
                      <w:jc w:val="center"/>
                    </w:pPr>
                  </w:p>
                </w:txbxContent>
              </v:textbox>
            </v:shape>
            <w10:wrap type="none"/>
            <w10:anchorlock/>
          </v:group>
        </w:pict>
      </w:r>
    </w:p>
    <w:p w:rsidR="00C12D0B" w:rsidRDefault="00C12D0B" w:rsidP="005E72AD">
      <w:pPr>
        <w:spacing w:after="0"/>
        <w:jc w:val="center"/>
        <w:rPr>
          <w:rFonts w:ascii="Times New Roman" w:hAnsi="Times New Roman" w:cs="Times New Roman"/>
          <w:b/>
          <w:color w:val="7D4D98" w:themeColor="accent6" w:themeShade="BF"/>
          <w:sz w:val="24"/>
          <w:szCs w:val="24"/>
        </w:rPr>
      </w:pPr>
    </w:p>
    <w:p w:rsidR="005E72AD" w:rsidRDefault="00C12D0B" w:rsidP="005E72AD">
      <w:pPr>
        <w:spacing w:after="0"/>
        <w:jc w:val="center"/>
        <w:rPr>
          <w:rFonts w:ascii="Times New Roman" w:hAnsi="Times New Roman" w:cs="Times New Roman"/>
          <w:b/>
          <w:color w:val="7D4D98" w:themeColor="accent6" w:themeShade="BF"/>
          <w:sz w:val="24"/>
          <w:szCs w:val="24"/>
        </w:rPr>
      </w:pPr>
      <w:r w:rsidRPr="00C12D0B">
        <w:rPr>
          <w:rFonts w:ascii="Times New Roman" w:hAnsi="Times New Roman" w:cs="Times New Roman"/>
          <w:b/>
          <w:color w:val="7D4D98" w:themeColor="accent6" w:themeShade="BF"/>
          <w:sz w:val="24"/>
          <w:szCs w:val="24"/>
        </w:rPr>
        <w:t>Figura Nr.1 (Kandidatët për Magjistratë)</w:t>
      </w:r>
    </w:p>
    <w:p w:rsidR="00C12D0B" w:rsidRDefault="00C12D0B" w:rsidP="005E72AD">
      <w:pPr>
        <w:spacing w:after="0"/>
        <w:jc w:val="center"/>
        <w:rPr>
          <w:rFonts w:ascii="Times New Roman" w:hAnsi="Times New Roman" w:cs="Times New Roman"/>
          <w:b/>
          <w:color w:val="7D4D98" w:themeColor="accent6" w:themeShade="BF"/>
          <w:sz w:val="24"/>
          <w:szCs w:val="24"/>
        </w:rPr>
      </w:pPr>
    </w:p>
    <w:p w:rsidR="003B46CD" w:rsidRDefault="003B46CD" w:rsidP="005E72AD">
      <w:pPr>
        <w:spacing w:after="0"/>
        <w:jc w:val="center"/>
        <w:rPr>
          <w:rFonts w:ascii="Times New Roman" w:hAnsi="Times New Roman" w:cs="Times New Roman"/>
          <w:b/>
          <w:color w:val="7D4D98" w:themeColor="accent6" w:themeShade="BF"/>
          <w:sz w:val="24"/>
          <w:szCs w:val="24"/>
        </w:rPr>
      </w:pPr>
    </w:p>
    <w:p w:rsidR="00C12D0B" w:rsidRPr="00C12D0B" w:rsidRDefault="004F065D" w:rsidP="00C12D0B">
      <w:pPr>
        <w:jc w:val="both"/>
        <w:rPr>
          <w:rFonts w:ascii="Bookman Old Style" w:hAnsi="Bookman Old Style"/>
          <w:b/>
          <w:bCs/>
          <w:color w:val="372971" w:themeColor="accent5" w:themeShade="80"/>
          <w:sz w:val="24"/>
          <w:szCs w:val="24"/>
        </w:rPr>
      </w:pPr>
      <w:r w:rsidRPr="004F065D">
        <w:rPr>
          <w:rFonts w:ascii="Bookman Old Style" w:hAnsi="Bookman Old Style"/>
          <w:b/>
          <w:bCs/>
          <w:noProof/>
          <w:color w:val="372971" w:themeColor="accent5" w:themeShade="80"/>
          <w:sz w:val="24"/>
          <w:szCs w:val="24"/>
        </w:rPr>
        <w:pict>
          <v:rect id="Rectangle 20" o:spid="_x0000_s1041" style="position:absolute;left:0;text-align:left;margin-left:426pt;margin-top:1.8pt;width:126pt;height:3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vqAIAAKcFAAAOAAAAZHJzL2Uyb0RvYy54bWysVNuO0zAQfUfiHyy/Z3PBvSTadLU0DUJa&#10;YMXCB7iJ01g4drDdpgvi3xk7bbfdfUFAHizbMz5zOSdzfbPvBNoxbbiSOY6vIoyYrFTN5SbHX7+U&#10;wRwjY6msqVCS5fiRGXyzeP3qeugzlqhWiZppBCDSZEOf49baPgtDU7Wso+ZK9UyCsVG6oxaOehPW&#10;mg6A3okwiaJpOChd91pVzBi4LUYjXnj8pmGV/dQ0hlkkcgy5Wb9qv67dGi6uabbRtG95dUiD/kUW&#10;HeUSgp6gCmop2mr+AqrjlVZGNfaqUl2omoZXzNcA1cTRs2oeWtozXws0x/SnNpn/B1t93N1rxOsc&#10;J8CUpB1w9Bm6RuVGMJT4Bg29ycDvob/XrkTT36nqm0FSLVtwY7daq6FltIa0YtfQ8OKBOxh4itbD&#10;B1UDPN1a5Xu1b3TnAKELaO8peTxRwvYWVXAZT6MIeMaoAhuZzNzehaDZ8XWvjX3HVIfcJscakvfo&#10;dHdn7Oh6dHHBpCq5EJ52IS8uAHO8gdjw1NlcFp7Fn2mUruarOQlIMl0FJCqK4LZckmBaxrNJ8aZY&#10;Lov4l4sbk6zldc2kC3NUVEz+jLGDtkctnDRllOC1g3MpGb1ZL4VGOwqKLv13aMiZW3iZhu8X1PKs&#10;pDgh0dskDcrpfBaQkkyCdBbNgyhO36bTiKSkKC9LuuOS/XtJaMhxOkkmnqWzpJ/VFvnvZW0067iF&#10;mSF4l+P5yYlmToIrWXtqLeVi3J+1wqX/1Aqg+0i0F6zTqBsbJlur+hH0qhXICZQH0w02rdI/MBpg&#10;UuTYfN9SzTAS7yVoPo0JcaPFH7xEMdLnlvW5hcoKoHJsMRq3SzuOo22v+aaFSLFvjFS38J803Ev4&#10;KavD3wXTwFdymFxu3JyfvdfTfF38BgAA//8DAFBLAwQUAAYACAAAACEAMa0RV+EAAAAJAQAADwAA&#10;AGRycy9kb3ducmV2LnhtbEyPQUvDQBCF74L/YRnBi7SbVhtLzKRIQSwiFNPa8zY7JsHsbJrdJvHf&#10;uz3p8c0b3vteuhpNI3rqXG0ZYTaNQBAXVtdcIux3L5MlCOcVa9VYJoQfcrDKrq9SlWg78Af1uS9F&#10;CGGXKITK+zaR0hUVGeWmtiUO3pftjPJBdqXUnRpCuGnkPIpiaVTNoaFSLa0rKr7zs0EYim1/2L2/&#10;yu3dYWP5tDmt8883xNub8fkJhKfR/z3DBT+gQxaYjvbM2okGYbmYhy0e4T4GcfFn0UM4HBEeFzHI&#10;LJX/F2S/AAAA//8DAFBLAQItABQABgAIAAAAIQC2gziS/gAAAOEBAAATAAAAAAAAAAAAAAAAAAAA&#10;AABbQ29udGVudF9UeXBlc10ueG1sUEsBAi0AFAAGAAgAAAAhADj9If/WAAAAlAEAAAsAAAAAAAAA&#10;AAAAAAAALwEAAF9yZWxzLy5yZWxzUEsBAi0AFAAGAAgAAAAhAP7us2+oAgAApwUAAA4AAAAAAAAA&#10;AAAAAAAALgIAAGRycy9lMm9Eb2MueG1sUEsBAi0AFAAGAAgAAAAhADGtEVfhAAAACQEAAA8AAAAA&#10;AAAAAAAAAAAAAgUAAGRycy9kb3ducmV2LnhtbFBLBQYAAAAABAAEAPMAAAAQBgAAAAA=&#10;" filled="f" stroked="f"/>
        </w:pict>
      </w:r>
      <w:r w:rsidR="00C12D0B" w:rsidRPr="00C12D0B">
        <w:rPr>
          <w:rFonts w:ascii="Bookman Old Style" w:hAnsi="Bookman Old Style"/>
          <w:b/>
          <w:bCs/>
          <w:color w:val="372971" w:themeColor="accent5" w:themeShade="80"/>
          <w:sz w:val="24"/>
          <w:szCs w:val="24"/>
        </w:rPr>
        <w:t>1.2. Realizimi i programit të vitit të parë të Shkollës</w:t>
      </w:r>
    </w:p>
    <w:p w:rsidR="00C12D0B" w:rsidRPr="00F02DA5" w:rsidRDefault="00C12D0B" w:rsidP="00C12D0B">
      <w:pPr>
        <w:pStyle w:val="BodyText3"/>
        <w:spacing w:after="0"/>
        <w:jc w:val="both"/>
        <w:rPr>
          <w:rFonts w:ascii="Bookman Old Style" w:hAnsi="Bookman Old Style"/>
          <w:sz w:val="22"/>
          <w:szCs w:val="22"/>
        </w:rPr>
      </w:pPr>
      <w:r w:rsidRPr="00F02DA5">
        <w:rPr>
          <w:rFonts w:ascii="Bookman Old Style" w:hAnsi="Bookman Old Style"/>
          <w:sz w:val="22"/>
          <w:szCs w:val="22"/>
        </w:rPr>
        <w:t>Gjatë vitit akademik 2015-2016 në vitin e parë në Shkollën e Magjistraturës u përgatitën 10 kandidatë për magjistratë në profilin gjyqtarë dhe 6 kandidatë për magjistratë në profilin prokuror.</w:t>
      </w:r>
    </w:p>
    <w:p w:rsidR="00C12D0B" w:rsidRPr="00F02DA5" w:rsidRDefault="00C12D0B" w:rsidP="00C12D0B">
      <w:pPr>
        <w:pStyle w:val="BodyText3"/>
        <w:spacing w:after="0"/>
        <w:jc w:val="both"/>
        <w:rPr>
          <w:rFonts w:ascii="Bookman Old Style" w:hAnsi="Bookman Old Style"/>
          <w:sz w:val="22"/>
          <w:szCs w:val="22"/>
        </w:rPr>
      </w:pPr>
    </w:p>
    <w:p w:rsidR="00C12D0B" w:rsidRDefault="00C12D0B" w:rsidP="00C12D0B">
      <w:pPr>
        <w:jc w:val="both"/>
        <w:rPr>
          <w:rFonts w:ascii="Bookman Old Style" w:hAnsi="Bookman Old Style"/>
          <w:b/>
        </w:rPr>
      </w:pPr>
      <w:r w:rsidRPr="00F02DA5">
        <w:rPr>
          <w:rFonts w:ascii="Bookman Old Style" w:hAnsi="Bookman Old Style"/>
          <w:b/>
        </w:rPr>
        <w:t xml:space="preserve">Janë lëndë të vitit të parë: </w:t>
      </w: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3B46CD" w:rsidRDefault="003B46CD" w:rsidP="00C12D0B">
      <w:pPr>
        <w:jc w:val="both"/>
        <w:rPr>
          <w:rFonts w:ascii="Bookman Old Style" w:hAnsi="Bookman Old Style"/>
          <w:b/>
        </w:rPr>
      </w:pPr>
    </w:p>
    <w:p w:rsidR="003B46CD" w:rsidRDefault="004F065D" w:rsidP="00C12D0B">
      <w:pPr>
        <w:jc w:val="both"/>
        <w:rPr>
          <w:rFonts w:ascii="Bookman Old Style" w:hAnsi="Bookman Old Style"/>
          <w:b/>
        </w:rPr>
      </w:pPr>
      <w:r w:rsidRPr="004F065D">
        <w:rPr>
          <w:rFonts w:ascii="Bookman Old Style" w:hAnsi="Bookman Old Style"/>
          <w:b/>
          <w:noProof/>
        </w:rPr>
        <w:pict>
          <v:shapetype id="_x0000_t202" coordsize="21600,21600" o:spt="202" path="m,l,21600r21600,l21600,xe">
            <v:stroke joinstyle="miter"/>
            <v:path gradientshapeok="t" o:connecttype="rect"/>
          </v:shapetype>
          <v:shape id="Text Box 41" o:spid="_x0000_s1038" type="#_x0000_t202" style="position:absolute;left:0;text-align:left;margin-left:46.3pt;margin-top:50.7pt;width:178.5pt;height:397.5pt;z-index:-251641856;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zuEgMAAOoGAAAOAAAAZHJzL2Uyb0RvYy54bWysVU1PGzEQvVfqf7B8L5sEiMKKDUpBVJUo&#10;IEjF2fF6k1W9tms7yaa/vs/ejyRAe6jKYRmPx/PxZubl8qquJNkI60qtMjo8GVAiFNd5qZYZ/T6/&#10;/TShxHmmcia1EhndCUevph8/XG5NKkZ6pWUuLIET5dKtyejKe5MmieMrUTF3oo1QuCy0rZjH0S6T&#10;3LItvFcyGQ0G42SrbW6s5sI5aG+aSzqN/otCcP9QFE54IjOK3Hz82vhdhG8yvWTp0jKzKnmbBvuH&#10;LCpWKgTtXd0wz8jalm9cVSW32unCn3BdJbooSi5iDahmOHhVzfOKGRFrATjO9DC5/+eW328eLSnz&#10;jJ4NKVGsQo/movbks64JVMBna1wKs2cDQ19Djz53egdlKLsubBX+oyCCeyC969EN3jiUo9F4fHGO&#10;K46788HZZIQD/Cf758Y6/0XoigQhoxbti6iyzZ3zjWln0oKd35ZSRtnBpBGI0UBoEF/GQRLX0pIN&#10;wwhIP4pqXyrfaC4G+GvGwDH/TeetGsPVquW66tXDoO6y7n3HGpbuMPow2P01BbdiuWiDTVqnLD3M&#10;YR+MpYdJXHTmQO5tDlAuOywM8ysSPhnlpeUyDBNLC0A2108AN2zFeUw0bEYrYTva7AlWpBVb8OGq&#10;KdayHnmpyDaj41N0M3hXOrSksZcqaETcw7aDYZqaqYmS30kRbKR6EgXmMA5PUPSFNRAxzoXyce5Q&#10;YLQOVqGU/iFSPf1T05t8WvN9Uv3bd1t1HLQpAy9iYK18/7gqlbbvRc5/dBkXjT3AOyg7iL5e1HH/&#10;xt1OLXS+w6pZ3ZCVM/y2xDrcMecfmQU7YYXAuP4Bn0JqYK9biZKVtr/e0wd7kAZuKdmC7TLqfq6Z&#10;FZTIrwrLMpyMJpPAj0cne3RaHJ3UurrWGB+wBjKMIt5bLzuxsLp6ATnPQmRcMcURP6O+E689TrgA&#10;uXMxm0UZpIhxvVPPhgfXAemw8PP6hVnTsoIHodzrjhtZ+oocGtvwUunZ2uuijMwRsG6QbXsAQu1G&#10;OZB/YOzDc7Ta/0RNfwMAAP//AwBQSwMEFAAGAAgAAAAhADuV67fgAAAACgEAAA8AAABkcnMvZG93&#10;bnJldi54bWxMj8FOwzAMhu9IvENkJC6IpZuqqi1NJxjigsSBwcQ1bUxTrXGqJtvKnn7mBEf//vT7&#10;c7We3SCOOIXek4LlIgGB1HrTU6fg8+PlPgcRoiajB0+o4AcDrOvrq0qXxp/oHY/b2AkuoVBqBTbG&#10;sZQytBadDgs/IvHu209ORx6nTppJn7jcDXKVJJl0uie+YPWIG4vtfntwCtx57+52zebVNl/503Pe&#10;v+0yUyh1ezM/PoCIOMc/GH71WR1qdmr8gUwQg4JilTHJebJMQTCQpgUnjYK8yFKQdSX/v1BfAAAA&#10;//8DAFBLAQItABQABgAIAAAAIQC2gziS/gAAAOEBAAATAAAAAAAAAAAAAAAAAAAAAABbQ29udGVu&#10;dF9UeXBlc10ueG1sUEsBAi0AFAAGAAgAAAAhADj9If/WAAAAlAEAAAsAAAAAAAAAAAAAAAAALwEA&#10;AF9yZWxzLy5yZWxzUEsBAi0AFAAGAAgAAAAhAL2WLO4SAwAA6gYAAA4AAAAAAAAAAAAAAAAALgIA&#10;AGRycy9lMm9Eb2MueG1sUEsBAi0AFAAGAAgAAAAhADuV67fgAAAACgEAAA8AAAAAAAAAAAAAAAAA&#10;bAUAAGRycy9kb3ducmV2LnhtbFBLBQYAAAAABAAEAPMAAAB5BgAAAAA=&#10;" fillcolor="#cec8d5 [2899]" stroked="f" strokeweight=".5pt">
            <v:fill color2="#c4bccc [3139]" rotate="t" focusposition=".5,.5" focussize="" focus="100%" type="gradientRadial"/>
            <v:textbox inset="14.4pt,14.4pt,14.4pt,14.4pt">
              <w:txbxContent>
                <w:p w:rsidR="006B34AB" w:rsidRPr="00F02DA5" w:rsidRDefault="006B34AB" w:rsidP="003B46CD">
                  <w:pPr>
                    <w:numPr>
                      <w:ilvl w:val="0"/>
                      <w:numId w:val="7"/>
                    </w:numPr>
                    <w:spacing w:after="0" w:line="240" w:lineRule="auto"/>
                    <w:ind w:left="360"/>
                    <w:jc w:val="both"/>
                    <w:rPr>
                      <w:rFonts w:ascii="Bookman Old Style" w:hAnsi="Bookman Old Style"/>
                      <w:b/>
                    </w:rPr>
                  </w:pPr>
                  <w:r w:rsidRPr="00F02DA5">
                    <w:rPr>
                      <w:rFonts w:ascii="Bookman Old Style" w:hAnsi="Bookman Old Style"/>
                      <w:b/>
                    </w:rPr>
                    <w:t>Grupi i parë</w:t>
                  </w:r>
                </w:p>
                <w:p w:rsidR="006B34AB" w:rsidRPr="00F02DA5" w:rsidRDefault="006B34AB" w:rsidP="003B46CD">
                  <w:pPr>
                    <w:rPr>
                      <w:rFonts w:ascii="Bookman Old Style" w:hAnsi="Bookman Old Style"/>
                    </w:rPr>
                  </w:pPr>
                </w:p>
                <w:p w:rsidR="006B34AB" w:rsidRPr="00F02DA5" w:rsidRDefault="006B34AB" w:rsidP="003B46CD">
                  <w:pPr>
                    <w:rPr>
                      <w:rFonts w:ascii="Bookman Old Style" w:hAnsi="Bookman Old Style"/>
                    </w:rPr>
                  </w:pPr>
                  <w:r w:rsidRPr="00F02DA5">
                    <w:rPr>
                      <w:rFonts w:ascii="Bookman Old Style" w:hAnsi="Bookman Old Style"/>
                    </w:rPr>
                    <w:t>E Drejta Civile</w:t>
                  </w:r>
                </w:p>
                <w:p w:rsidR="006B34AB" w:rsidRPr="00F02DA5" w:rsidRDefault="006B34AB" w:rsidP="003B46CD">
                  <w:pPr>
                    <w:rPr>
                      <w:rFonts w:ascii="Bookman Old Style" w:hAnsi="Bookman Old Style"/>
                    </w:rPr>
                  </w:pPr>
                  <w:r w:rsidRPr="00F02DA5">
                    <w:rPr>
                      <w:rFonts w:ascii="Bookman Old Style" w:hAnsi="Bookman Old Style"/>
                    </w:rPr>
                    <w:t xml:space="preserve">E Drejta Penale </w:t>
                  </w:r>
                </w:p>
                <w:p w:rsidR="006B34AB" w:rsidRPr="00F02DA5" w:rsidRDefault="006B34AB" w:rsidP="003B46CD">
                  <w:pPr>
                    <w:rPr>
                      <w:rFonts w:ascii="Bookman Old Style" w:hAnsi="Bookman Old Style"/>
                    </w:rPr>
                  </w:pPr>
                  <w:r w:rsidRPr="00F02DA5">
                    <w:rPr>
                      <w:rFonts w:ascii="Bookman Old Style" w:hAnsi="Bookman Old Style"/>
                    </w:rPr>
                    <w:t>Proçedura Civile</w:t>
                  </w:r>
                </w:p>
                <w:p w:rsidR="006B34AB" w:rsidRPr="00F02DA5" w:rsidRDefault="006B34AB" w:rsidP="003B46CD">
                  <w:pPr>
                    <w:rPr>
                      <w:rFonts w:ascii="Bookman Old Style" w:hAnsi="Bookman Old Style"/>
                    </w:rPr>
                  </w:pPr>
                  <w:r w:rsidRPr="00F02DA5">
                    <w:rPr>
                      <w:rFonts w:ascii="Bookman Old Style" w:hAnsi="Bookman Old Style"/>
                    </w:rPr>
                    <w:t>Proçedura Penale</w:t>
                  </w:r>
                </w:p>
                <w:p w:rsidR="006B34AB" w:rsidRPr="00F02DA5" w:rsidRDefault="006B34AB" w:rsidP="003B46CD">
                  <w:pPr>
                    <w:rPr>
                      <w:rFonts w:ascii="Bookman Old Style" w:hAnsi="Bookman Old Style"/>
                    </w:rPr>
                  </w:pPr>
                  <w:r w:rsidRPr="00F02DA5">
                    <w:rPr>
                      <w:rFonts w:ascii="Bookman Old Style" w:hAnsi="Bookman Old Style"/>
                    </w:rPr>
                    <w:t>E Drejta Kushtetuese</w:t>
                  </w:r>
                </w:p>
                <w:p w:rsidR="006B34AB" w:rsidRPr="00F02DA5" w:rsidRDefault="006B34AB" w:rsidP="003B46CD">
                  <w:pPr>
                    <w:rPr>
                      <w:rFonts w:ascii="Bookman Old Style" w:hAnsi="Bookman Old Style"/>
                    </w:rPr>
                  </w:pPr>
                  <w:r w:rsidRPr="00F02DA5">
                    <w:rPr>
                      <w:rFonts w:ascii="Bookman Old Style" w:hAnsi="Bookman Old Style"/>
                    </w:rPr>
                    <w:t>Të Drejtat e Njeriut</w:t>
                  </w:r>
                </w:p>
                <w:p w:rsidR="006B34AB" w:rsidRPr="00F02DA5" w:rsidRDefault="006B34AB" w:rsidP="003B46CD">
                  <w:pPr>
                    <w:rPr>
                      <w:rFonts w:ascii="Bookman Old Style" w:hAnsi="Bookman Old Style"/>
                    </w:rPr>
                  </w:pPr>
                  <w:r w:rsidRPr="00F02DA5">
                    <w:rPr>
                      <w:rFonts w:ascii="Bookman Old Style" w:hAnsi="Bookman Old Style"/>
                    </w:rPr>
                    <w:t>E Drejta e BE-së</w:t>
                  </w:r>
                </w:p>
                <w:p w:rsidR="006B34AB" w:rsidRPr="00F02DA5" w:rsidRDefault="006B34AB" w:rsidP="003B46CD">
                  <w:pPr>
                    <w:rPr>
                      <w:rFonts w:ascii="Bookman Old Style" w:hAnsi="Bookman Old Style"/>
                    </w:rPr>
                  </w:pPr>
                  <w:r w:rsidRPr="00F02DA5">
                    <w:rPr>
                      <w:rFonts w:ascii="Bookman Old Style" w:hAnsi="Bookman Old Style"/>
                    </w:rPr>
                    <w:t>E Drejta Administrative</w:t>
                  </w:r>
                </w:p>
                <w:p w:rsidR="006B34AB" w:rsidRPr="00F02DA5" w:rsidRDefault="006B34AB" w:rsidP="003B46CD">
                  <w:pPr>
                    <w:rPr>
                      <w:rFonts w:ascii="Bookman Old Style" w:hAnsi="Bookman Old Style"/>
                    </w:rPr>
                  </w:pPr>
                  <w:r w:rsidRPr="00F02DA5">
                    <w:rPr>
                      <w:rFonts w:ascii="Bookman Old Style" w:hAnsi="Bookman Old Style"/>
                    </w:rPr>
                    <w:t>Shkrim &amp;Arsyetim  Ligjor</w:t>
                  </w:r>
                </w:p>
                <w:p w:rsidR="006B34AB" w:rsidRPr="00F02DA5" w:rsidRDefault="006B34AB" w:rsidP="003B46CD">
                  <w:pPr>
                    <w:rPr>
                      <w:rFonts w:ascii="Bookman Old Style" w:hAnsi="Bookman Old Style"/>
                    </w:rPr>
                  </w:pPr>
                  <w:r w:rsidRPr="00F02DA5">
                    <w:rPr>
                      <w:rFonts w:ascii="Bookman Old Style" w:hAnsi="Bookman Old Style"/>
                    </w:rPr>
                    <w:t>Etika Profesionale</w:t>
                  </w:r>
                </w:p>
                <w:p w:rsidR="006B34AB" w:rsidRPr="00F02DA5" w:rsidRDefault="006B34AB" w:rsidP="003B46CD">
                  <w:pPr>
                    <w:rPr>
                      <w:rFonts w:ascii="Bookman Old Style" w:hAnsi="Bookman Old Style"/>
                    </w:rPr>
                  </w:pPr>
                  <w:r w:rsidRPr="00F02DA5">
                    <w:rPr>
                      <w:rFonts w:ascii="Bookman Old Style" w:hAnsi="Bookman Old Style"/>
                    </w:rPr>
                    <w:t>E Drejta Familjare</w:t>
                  </w:r>
                </w:p>
                <w:p w:rsidR="006B34AB" w:rsidRPr="00F02DA5" w:rsidRDefault="006B34AB" w:rsidP="003B46CD">
                  <w:pPr>
                    <w:rPr>
                      <w:rFonts w:ascii="Bookman Old Style" w:hAnsi="Bookman Old Style"/>
                    </w:rPr>
                  </w:pPr>
                  <w:r w:rsidRPr="00F02DA5">
                    <w:rPr>
                      <w:rFonts w:ascii="Bookman Old Style" w:hAnsi="Bookman Old Style"/>
                    </w:rPr>
                    <w:t>E Drejta Tregëtare</w:t>
                  </w:r>
                </w:p>
                <w:p w:rsidR="006B34AB" w:rsidRDefault="006B34AB">
                  <w:pPr>
                    <w:rPr>
                      <w:color w:val="4E4D51" w:themeColor="text2" w:themeShade="BF"/>
                      <w:sz w:val="24"/>
                      <w:szCs w:val="24"/>
                    </w:rPr>
                  </w:pPr>
                </w:p>
                <w:p w:rsidR="006B34AB" w:rsidRDefault="006B34AB">
                  <w:pPr>
                    <w:pStyle w:val="NoSpacing"/>
                    <w:jc w:val="right"/>
                    <w:rPr>
                      <w:color w:val="69676D" w:themeColor="text2"/>
                      <w:sz w:val="18"/>
                      <w:szCs w:val="18"/>
                    </w:rPr>
                  </w:pPr>
                </w:p>
              </w:txbxContent>
            </v:textbox>
            <w10:wrap type="square" anchorx="margin" anchory="margin"/>
          </v:shape>
        </w:pict>
      </w:r>
    </w:p>
    <w:p w:rsidR="001E5B59" w:rsidRDefault="004F065D" w:rsidP="00C12D0B">
      <w:pPr>
        <w:jc w:val="both"/>
        <w:rPr>
          <w:rFonts w:ascii="Bookman Old Style" w:hAnsi="Bookman Old Style"/>
          <w:b/>
        </w:rPr>
      </w:pPr>
      <w:r w:rsidRPr="004F065D">
        <w:rPr>
          <w:rFonts w:ascii="Bookman Old Style" w:hAnsi="Bookman Old Style"/>
          <w:b/>
          <w:noProof/>
        </w:rPr>
        <w:pict>
          <v:shape id="Text Box 42" o:spid="_x0000_s1039" type="#_x0000_t202" style="position:absolute;left:0;text-align:left;margin-left:283.65pt;margin-top:79.1pt;width:211.5pt;height:4in;z-index:-251639808;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EFAMAAOoGAAAOAAAAZHJzL2Uyb0RvYy54bWysVdtOGzEQfa/Uf7D8XjYJJQ0rNigFUVWi&#10;gCAVz47Xm13Va7u2c+vX99h7SQK0D1V5WMbj8VzOzJxcXG5rSdbCukqrjA5PBpQIxXVeqWVGv89v&#10;PkwocZ6pnEmtREZ3wtHL6ft3FxuTipEutcyFJXCiXLoxGS29N2mSOF6KmrkTbYTCZaFtzTyOdpnk&#10;lm3gvZbJaDAYJxttc2M1F85Be91c0mn0XxSC+/uicMITmVHk5uPXxu8ifJPpBUuXlpmy4m0a7B+y&#10;qFmlELR3dc08IytbvXJVV9xqpwt/wnWd6KKouIg1oJrh4EU1TyUzItYCcJzpYXL/zy2/Wz9YUuUZ&#10;/TiiRLEaPZqLrSef9ZZABXw2xqUwezIw9Fvo0edO76AMZW8LW4f/KIjgHkjvenSDNw7laDwZD85w&#10;xXF3Oj77NB5E/JP9c2Od/yJ0TYKQUYv2RVTZ+tZ5pALTzqQFO7+ppIyyg0kjEKOB0CC+jIMkrqQl&#10;a4YRkH4U1b5SvtGcD/DXjIFj/pvOWzWGq1XLVd2rh0HdZd37jokt3WH0YbD7awquZLlog01apyw9&#10;zGEfjKWHSZx35oDjdQ5QLjssDPMlCZ+M8spyGYaJpQUgm+tHgBu24iwmGjajlbAdbfYEK9KKLfhw&#10;1RRrWY+8VGST0fEpWhu8Kx1a0thLFTQi7mHbwTBNzdREye+kCDZSPYoCcxiHJyj6whqIGOdC+Th3&#10;KDBaB6tQSv8QqZ7+qelNPq35Pqn+7ZutOg7alIEXMbBWvn9cV0rbtyLnP7qMi8Ye4B2UHUS/XWzj&#10;/n3qdmqh8x1WzeqGrJzhNxXW4ZY5/8As2AkrBMb19/gUUgN73UqUlNr+eksf7EEauKVkA7bLqPu5&#10;YlZQIr8qLMtwMppMAj8enezRaXF0Uqv6SmN8huB3w6OI99bLTiysrp9BzrMQGVdMccTPqO/EK48T&#10;LkDuXMxmUQYpYlxv1ZPhwXVAOiz8fPvMrGlZwYNQ7nTHjSx9QQ6NbXip9GzldVFF5ghYN8i2PQCh&#10;dqMcyD8w9uE5Wu1/oqa/AQAA//8DAFBLAwQUAAYACAAAACEA1YGTUuIAAAALAQAADwAAAGRycy9k&#10;b3ducmV2LnhtbEyPwU7DMAyG70i8Q2QkLmhL6VjXlqYTDHFB4rDBxDVtTFutcaom2wpPjznB0f4/&#10;/f5crCfbixOOvnOk4HYegUCqnemoUfD+9jxLQfigyejeESr4Qg/r8vKi0LlxZ9riaRcawSXkc62g&#10;DWHIpfR1i1b7uRuQOPt0o9WBx7GRZtRnLre9jKMokVZ3xBdaPeCmxfqwO1oF9vtgb/bV5qWtPtLH&#10;p7R73ScmU+r6anq4BxFwCn8w/OqzOpTsVLkjGS96BctktWCUg2Uag2AiyyLeVApWi7sYZFnI/z+U&#10;PwAAAP//AwBQSwECLQAUAAYACAAAACEAtoM4kv4AAADhAQAAEwAAAAAAAAAAAAAAAAAAAAAAW0Nv&#10;bnRlbnRfVHlwZXNdLnhtbFBLAQItABQABgAIAAAAIQA4/SH/1gAAAJQBAAALAAAAAAAAAAAAAAAA&#10;AC8BAABfcmVscy8ucmVsc1BLAQItABQABgAIAAAAIQCf5+VEFAMAAOoGAAAOAAAAAAAAAAAAAAAA&#10;AC4CAABkcnMvZTJvRG9jLnhtbFBLAQItABQABgAIAAAAIQDVgZNS4gAAAAsBAAAPAAAAAAAAAAAA&#10;AAAAAG4FAABkcnMvZG93bnJldi54bWxQSwUGAAAAAAQABADzAAAAfQYAAAAA&#10;" fillcolor="#cec8d5 [2899]" stroked="f" strokeweight=".5pt">
            <v:fill color2="#c4bccc [3139]" rotate="t" focusposition=".5,.5" focussize="" focus="100%" type="gradientRadial"/>
            <v:textbox inset="14.4pt,14.4pt,14.4pt,14.4pt">
              <w:txbxContent>
                <w:p w:rsidR="006B34AB" w:rsidRPr="00F02DA5" w:rsidRDefault="006B34AB" w:rsidP="003B46CD">
                  <w:pPr>
                    <w:numPr>
                      <w:ilvl w:val="0"/>
                      <w:numId w:val="7"/>
                    </w:numPr>
                    <w:spacing w:after="0" w:line="240" w:lineRule="auto"/>
                    <w:ind w:left="180"/>
                    <w:jc w:val="both"/>
                    <w:rPr>
                      <w:rFonts w:ascii="Bookman Old Style" w:hAnsi="Bookman Old Style"/>
                      <w:b/>
                    </w:rPr>
                  </w:pPr>
                  <w:r w:rsidRPr="00F02DA5">
                    <w:rPr>
                      <w:rFonts w:ascii="Bookman Old Style" w:hAnsi="Bookman Old Style"/>
                      <w:b/>
                    </w:rPr>
                    <w:t>Grupi i dytë</w:t>
                  </w:r>
                </w:p>
                <w:p w:rsidR="006B34AB" w:rsidRPr="00F02DA5" w:rsidRDefault="006B34AB" w:rsidP="003B46CD">
                  <w:pPr>
                    <w:spacing w:after="0" w:line="240" w:lineRule="auto"/>
                    <w:ind w:left="180"/>
                    <w:jc w:val="both"/>
                    <w:rPr>
                      <w:rFonts w:ascii="Bookman Old Style" w:hAnsi="Bookman Old Style"/>
                      <w:b/>
                    </w:rPr>
                  </w:pPr>
                </w:p>
                <w:p w:rsidR="006B34AB" w:rsidRPr="00F02DA5" w:rsidRDefault="006B34AB" w:rsidP="003B46CD">
                  <w:pPr>
                    <w:rPr>
                      <w:rFonts w:ascii="Bookman Old Style" w:hAnsi="Bookman Old Style"/>
                    </w:rPr>
                  </w:pPr>
                  <w:r w:rsidRPr="00F02DA5">
                    <w:rPr>
                      <w:rFonts w:ascii="Bookman Old Style" w:hAnsi="Bookman Old Style"/>
                    </w:rPr>
                    <w:t xml:space="preserve">E Drejta e Punës &amp; E Drejta e sig.shoqerore </w:t>
                  </w:r>
                </w:p>
                <w:p w:rsidR="006B34AB" w:rsidRPr="00F02DA5" w:rsidRDefault="006B34AB" w:rsidP="003B46CD">
                  <w:pPr>
                    <w:rPr>
                      <w:rFonts w:ascii="Bookman Old Style" w:hAnsi="Bookman Old Style"/>
                    </w:rPr>
                  </w:pPr>
                  <w:r w:rsidRPr="00F02DA5">
                    <w:rPr>
                      <w:rFonts w:ascii="Bookman Old Style" w:hAnsi="Bookman Old Style"/>
                    </w:rPr>
                    <w:t>E Drejta Ndërkomb. Private</w:t>
                  </w:r>
                </w:p>
                <w:p w:rsidR="006B34AB" w:rsidRPr="00F02DA5" w:rsidRDefault="006B34AB" w:rsidP="003B46CD">
                  <w:pPr>
                    <w:rPr>
                      <w:rFonts w:ascii="Bookman Old Style" w:hAnsi="Bookman Old Style"/>
                    </w:rPr>
                  </w:pPr>
                  <w:r w:rsidRPr="00F02DA5">
                    <w:rPr>
                      <w:rFonts w:ascii="Bookman Old Style" w:hAnsi="Bookman Old Style"/>
                    </w:rPr>
                    <w:t>E Drejta Tatimore-Doganore</w:t>
                  </w:r>
                </w:p>
                <w:p w:rsidR="006B34AB" w:rsidRPr="00F02DA5" w:rsidRDefault="006B34AB" w:rsidP="003B46CD">
                  <w:pPr>
                    <w:rPr>
                      <w:rFonts w:ascii="Bookman Old Style" w:hAnsi="Bookman Old Style"/>
                    </w:rPr>
                  </w:pPr>
                  <w:r>
                    <w:rPr>
                      <w:rFonts w:ascii="Bookman Old Style" w:hAnsi="Bookman Old Style"/>
                    </w:rPr>
                    <w:t>Menaxhimi i</w:t>
                  </w:r>
                  <w:r w:rsidRPr="00F02DA5">
                    <w:rPr>
                      <w:rFonts w:ascii="Bookman Old Style" w:hAnsi="Bookman Old Style"/>
                    </w:rPr>
                    <w:t xml:space="preserve"> Gjykatave/ Prokurive</w:t>
                  </w:r>
                </w:p>
                <w:p w:rsidR="006B34AB" w:rsidRPr="00F02DA5" w:rsidRDefault="006B34AB" w:rsidP="003B46CD">
                  <w:pPr>
                    <w:rPr>
                      <w:rFonts w:ascii="Bookman Old Style" w:hAnsi="Bookman Old Style"/>
                    </w:rPr>
                  </w:pPr>
                  <w:r w:rsidRPr="00F02DA5">
                    <w:rPr>
                      <w:rFonts w:ascii="Bookman Old Style" w:hAnsi="Bookman Old Style"/>
                    </w:rPr>
                    <w:t>Pronësia Intelektuale</w:t>
                  </w:r>
                </w:p>
                <w:p w:rsidR="006B34AB" w:rsidRPr="00CE5823" w:rsidRDefault="006B34AB" w:rsidP="003B46CD">
                  <w:pPr>
                    <w:rPr>
                      <w:rFonts w:ascii="Bookman Old Style" w:hAnsi="Bookman Old Style"/>
                      <w:sz w:val="24"/>
                    </w:rPr>
                  </w:pPr>
                  <w:r w:rsidRPr="00F02DA5">
                    <w:rPr>
                      <w:rFonts w:ascii="Bookman Old Style" w:hAnsi="Bookman Old Style"/>
                    </w:rPr>
                    <w:t>Ndërmjetësimi, Arbitrazhi</w:t>
                  </w:r>
                </w:p>
                <w:p w:rsidR="006B34AB" w:rsidRDefault="006B34AB" w:rsidP="003B46CD"/>
                <w:p w:rsidR="006B34AB" w:rsidRDefault="006B34AB">
                  <w:pPr>
                    <w:rPr>
                      <w:color w:val="4E4D51" w:themeColor="text2" w:themeShade="BF"/>
                      <w:sz w:val="24"/>
                      <w:szCs w:val="24"/>
                    </w:rPr>
                  </w:pPr>
                </w:p>
                <w:p w:rsidR="006B34AB" w:rsidRDefault="006B34AB">
                  <w:pPr>
                    <w:pStyle w:val="NoSpacing"/>
                    <w:jc w:val="right"/>
                    <w:rPr>
                      <w:color w:val="69676D" w:themeColor="text2"/>
                      <w:sz w:val="18"/>
                      <w:szCs w:val="18"/>
                    </w:rPr>
                  </w:pPr>
                </w:p>
              </w:txbxContent>
            </v:textbox>
            <w10:wrap type="square" anchorx="margin" anchory="margin"/>
          </v:shape>
        </w:pict>
      </w: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1E5B59" w:rsidP="00C12D0B">
      <w:pPr>
        <w:jc w:val="both"/>
        <w:rPr>
          <w:rFonts w:ascii="Bookman Old Style" w:hAnsi="Bookman Old Style"/>
          <w:b/>
        </w:rPr>
      </w:pPr>
    </w:p>
    <w:p w:rsidR="001E5B59" w:rsidRDefault="008E1430" w:rsidP="00C12D0B">
      <w:pPr>
        <w:jc w:val="both"/>
        <w:rPr>
          <w:rFonts w:ascii="Bookman Old Style" w:hAnsi="Bookman Old Style"/>
          <w:b/>
          <w:noProof/>
          <w:lang w:val="en-GB" w:eastAsia="en-GB"/>
        </w:rPr>
      </w:pPr>
      <w:r>
        <w:rPr>
          <w:rFonts w:ascii="Bookman Old Style" w:hAnsi="Bookman Old Style"/>
          <w:b/>
          <w:noProof/>
          <w:lang w:val="en-GB" w:eastAsia="en-GB"/>
        </w:rPr>
        <w:lastRenderedPageBreak/>
        <w:drawing>
          <wp:inline distT="0" distB="0" distL="0" distR="0">
            <wp:extent cx="6829425" cy="32670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829425" cy="3267075"/>
                    </a:xfrm>
                    <a:prstGeom prst="rect">
                      <a:avLst/>
                    </a:prstGeom>
                    <a:noFill/>
                    <a:ln w="9525">
                      <a:noFill/>
                      <a:miter lim="800000"/>
                      <a:headEnd/>
                      <a:tailEnd/>
                    </a:ln>
                  </pic:spPr>
                </pic:pic>
              </a:graphicData>
            </a:graphic>
          </wp:inline>
        </w:drawing>
      </w:r>
    </w:p>
    <w:p w:rsidR="008E1430" w:rsidRPr="008E1430" w:rsidRDefault="008E1430" w:rsidP="008E1430">
      <w:pPr>
        <w:spacing w:after="0"/>
        <w:jc w:val="center"/>
        <w:rPr>
          <w:rFonts w:ascii="Times New Roman" w:hAnsi="Times New Roman" w:cs="Times New Roman"/>
          <w:b/>
          <w:color w:val="7D4D98" w:themeColor="accent6" w:themeShade="BF"/>
          <w:sz w:val="24"/>
          <w:szCs w:val="24"/>
        </w:rPr>
      </w:pPr>
    </w:p>
    <w:p w:rsidR="008E1430" w:rsidRPr="008E1430" w:rsidRDefault="008E1430" w:rsidP="008E1430">
      <w:pPr>
        <w:jc w:val="both"/>
        <w:rPr>
          <w:rFonts w:ascii="Bookman Old Style" w:hAnsi="Bookman Old Style"/>
          <w:b/>
          <w:bCs/>
          <w:color w:val="372971" w:themeColor="accent5" w:themeShade="80"/>
          <w:sz w:val="24"/>
          <w:szCs w:val="24"/>
        </w:rPr>
      </w:pPr>
      <w:r w:rsidRPr="008E1430">
        <w:rPr>
          <w:rFonts w:ascii="Bookman Old Style" w:hAnsi="Bookman Old Style"/>
          <w:b/>
          <w:bCs/>
          <w:color w:val="372971" w:themeColor="accent5" w:themeShade="80"/>
          <w:sz w:val="24"/>
          <w:szCs w:val="24"/>
        </w:rPr>
        <w:t>1.3. Realizimi i programit të vitit të tretë të Shkollës - Praktika profesionale</w:t>
      </w:r>
    </w:p>
    <w:p w:rsidR="008E1430" w:rsidRPr="00F02DA5" w:rsidRDefault="008E1430" w:rsidP="008E1430">
      <w:pPr>
        <w:jc w:val="both"/>
        <w:rPr>
          <w:rFonts w:ascii="Bookman Old Style" w:hAnsi="Bookman Old Style"/>
          <w:bCs/>
        </w:rPr>
      </w:pPr>
      <w:r w:rsidRPr="00F02DA5">
        <w:rPr>
          <w:rFonts w:ascii="Bookman Old Style" w:hAnsi="Bookman Old Style"/>
          <w:bCs/>
        </w:rPr>
        <w:t>Dokumentacioni me vlerësimet dhe dosjet e kandidatëve për magjistratë të vitit të tretë ju dërguan përkatësisht Prokurorisë së Përgjithshme dhe Presidencës me të mbaruar viti akademik, duke respektuar afatin e dorëzimit të tyre.</w:t>
      </w:r>
    </w:p>
    <w:p w:rsidR="008E1430" w:rsidRPr="00F02DA5" w:rsidRDefault="008E1430" w:rsidP="008E1430">
      <w:pPr>
        <w:jc w:val="both"/>
        <w:rPr>
          <w:rFonts w:ascii="Bookman Old Style" w:hAnsi="Bookman Old Style"/>
          <w:bCs/>
        </w:rPr>
      </w:pPr>
      <w:r w:rsidRPr="00F02DA5">
        <w:rPr>
          <w:rFonts w:ascii="Bookman Old Style" w:hAnsi="Bookman Old Style"/>
          <w:bCs/>
        </w:rPr>
        <w:t xml:space="preserve">Magjistratët e vitit të tretë u aktivizuan fillimisht me cështje penale e civile të thjeshta, dhe evolimi i tyre gradualisht drejt çështjeve më të vështira. </w:t>
      </w:r>
    </w:p>
    <w:p w:rsidR="008E1430" w:rsidRPr="00F02DA5" w:rsidRDefault="008E1430" w:rsidP="008E1430">
      <w:pPr>
        <w:jc w:val="both"/>
        <w:rPr>
          <w:rFonts w:ascii="Bookman Old Style" w:hAnsi="Bookman Old Style"/>
          <w:bCs/>
        </w:rPr>
      </w:pPr>
      <w:r w:rsidRPr="00F02DA5">
        <w:rPr>
          <w:rFonts w:ascii="Bookman Old Style" w:hAnsi="Bookman Old Style"/>
          <w:bCs/>
        </w:rPr>
        <w:t>Gjithsesi Programi i trajnimit të tyre parashikoi dhe realizoi aktivitetet e mëposhtme:</w:t>
      </w:r>
    </w:p>
    <w:p w:rsidR="008E1430" w:rsidRDefault="008E1430" w:rsidP="003C4BF1">
      <w:pPr>
        <w:numPr>
          <w:ilvl w:val="0"/>
          <w:numId w:val="8"/>
        </w:numPr>
        <w:spacing w:after="0" w:line="240" w:lineRule="auto"/>
        <w:ind w:left="360"/>
        <w:jc w:val="both"/>
        <w:rPr>
          <w:rFonts w:ascii="Bookman Old Style" w:hAnsi="Bookman Old Style"/>
          <w:bCs/>
        </w:rPr>
      </w:pPr>
      <w:r w:rsidRPr="00F02DA5">
        <w:rPr>
          <w:rFonts w:ascii="Bookman Old Style" w:hAnsi="Bookman Old Style"/>
          <w:bCs/>
        </w:rPr>
        <w:t>U organizuan takime ne Shkollë një herë në dy muaj, ku u diskutua ecuria e punës, vështirësitë e hasura, cështjet civile dhe penale, probleme teorike dhe pika juridike etj.</w:t>
      </w:r>
    </w:p>
    <w:p w:rsidR="008E1430" w:rsidRPr="008E1430" w:rsidRDefault="008E1430" w:rsidP="008E1430">
      <w:pPr>
        <w:spacing w:after="0" w:line="240" w:lineRule="auto"/>
        <w:ind w:left="360"/>
        <w:jc w:val="both"/>
        <w:rPr>
          <w:rFonts w:ascii="Bookman Old Style" w:hAnsi="Bookman Old Style"/>
          <w:bCs/>
        </w:rPr>
      </w:pPr>
    </w:p>
    <w:p w:rsidR="008E1430" w:rsidRPr="00F02DA5" w:rsidRDefault="008E1430" w:rsidP="003C4BF1">
      <w:pPr>
        <w:numPr>
          <w:ilvl w:val="0"/>
          <w:numId w:val="8"/>
        </w:numPr>
        <w:spacing w:after="0" w:line="240" w:lineRule="auto"/>
        <w:ind w:left="360"/>
        <w:jc w:val="both"/>
        <w:rPr>
          <w:rFonts w:ascii="Bookman Old Style" w:hAnsi="Bookman Old Style"/>
          <w:bCs/>
        </w:rPr>
      </w:pPr>
      <w:r w:rsidRPr="00F02DA5">
        <w:rPr>
          <w:rFonts w:ascii="Bookman Old Style" w:hAnsi="Bookman Old Style"/>
          <w:bCs/>
        </w:rPr>
        <w:t>Kandidatet morën pjesë aktive, në seminaret e trajnimit vazhdues të zgjedhura prej tyre në auditorët e Shkollës, për të diskutuar rreth problemeve, përshtypjeve, konkluzioneve praktike të hasura dhe të nxjerra gjatë praktikës pranë organeve të drejtësisë.</w:t>
      </w:r>
    </w:p>
    <w:p w:rsidR="001E5B59" w:rsidRDefault="001E5B59" w:rsidP="00C12D0B">
      <w:pPr>
        <w:jc w:val="both"/>
        <w:rPr>
          <w:rFonts w:ascii="Bookman Old Style" w:hAnsi="Bookman Old Style"/>
          <w:b/>
        </w:rPr>
      </w:pPr>
    </w:p>
    <w:p w:rsidR="002E4C6C" w:rsidRDefault="008E1430" w:rsidP="008E1430">
      <w:pPr>
        <w:tabs>
          <w:tab w:val="left" w:pos="585"/>
        </w:tabs>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lastRenderedPageBreak/>
        <w:tab/>
      </w:r>
      <w:r>
        <w:rPr>
          <w:rFonts w:ascii="Times New Roman" w:hAnsi="Times New Roman" w:cs="Times New Roman"/>
          <w:b/>
          <w:noProof/>
          <w:color w:val="7D4D98" w:themeColor="accent6" w:themeShade="BF"/>
          <w:sz w:val="24"/>
          <w:szCs w:val="24"/>
          <w:lang w:val="en-GB" w:eastAsia="en-GB"/>
        </w:rPr>
        <w:drawing>
          <wp:inline distT="0" distB="0" distL="0" distR="0">
            <wp:extent cx="6840855" cy="3231420"/>
            <wp:effectExtent l="19050" t="0" r="0" b="0"/>
            <wp:docPr id="11" name="Picture 11"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Untitled.jpg"/>
                    <pic:cNvPicPr>
                      <a:picLocks noChangeAspect="1" noChangeArrowheads="1"/>
                    </pic:cNvPicPr>
                  </pic:nvPicPr>
                  <pic:blipFill>
                    <a:blip r:embed="rId15" cstate="print"/>
                    <a:srcRect/>
                    <a:stretch>
                      <a:fillRect/>
                    </a:stretch>
                  </pic:blipFill>
                  <pic:spPr bwMode="auto">
                    <a:xfrm>
                      <a:off x="0" y="0"/>
                      <a:ext cx="6840855" cy="3231420"/>
                    </a:xfrm>
                    <a:prstGeom prst="rect">
                      <a:avLst/>
                    </a:prstGeom>
                    <a:noFill/>
                    <a:ln w="9525">
                      <a:noFill/>
                      <a:miter lim="800000"/>
                      <a:headEnd/>
                      <a:tailEnd/>
                    </a:ln>
                  </pic:spPr>
                </pic:pic>
              </a:graphicData>
            </a:graphic>
          </wp:inline>
        </w:drawing>
      </w:r>
    </w:p>
    <w:p w:rsidR="002E4C6C" w:rsidRDefault="002E4C6C" w:rsidP="002E4C6C">
      <w:pPr>
        <w:rPr>
          <w:rFonts w:ascii="Times New Roman" w:hAnsi="Times New Roman" w:cs="Times New Roman"/>
          <w:sz w:val="24"/>
          <w:szCs w:val="24"/>
        </w:rPr>
      </w:pPr>
    </w:p>
    <w:p w:rsidR="002E4C6C" w:rsidRPr="00F02DA5" w:rsidRDefault="002E4C6C" w:rsidP="002E4C6C">
      <w:pPr>
        <w:jc w:val="both"/>
        <w:rPr>
          <w:rFonts w:ascii="Bookman Old Style" w:hAnsi="Bookman Old Style"/>
          <w:bCs/>
        </w:rPr>
      </w:pPr>
      <w:r w:rsidRPr="00F02DA5">
        <w:rPr>
          <w:rFonts w:ascii="Bookman Old Style" w:hAnsi="Bookman Old Style"/>
          <w:b/>
          <w:bCs/>
          <w:u w:val="single"/>
        </w:rPr>
        <w:t>Vlerësimi për stazhin profesional</w:t>
      </w:r>
      <w:r w:rsidRPr="00F02DA5">
        <w:rPr>
          <w:rFonts w:ascii="Bookman Old Style" w:hAnsi="Bookman Old Style"/>
          <w:bCs/>
        </w:rPr>
        <w:t xml:space="preserve"> përbëhet nga:</w:t>
      </w:r>
    </w:p>
    <w:p w:rsidR="002E4C6C" w:rsidRPr="00F02DA5" w:rsidRDefault="002E4C6C" w:rsidP="003C4BF1">
      <w:pPr>
        <w:numPr>
          <w:ilvl w:val="0"/>
          <w:numId w:val="10"/>
        </w:numPr>
        <w:spacing w:after="0" w:line="240" w:lineRule="auto"/>
        <w:jc w:val="both"/>
        <w:rPr>
          <w:rFonts w:ascii="Bookman Old Style" w:hAnsi="Bookman Old Style"/>
          <w:bCs/>
        </w:rPr>
      </w:pPr>
      <w:r w:rsidRPr="00F02DA5">
        <w:rPr>
          <w:rFonts w:ascii="Bookman Old Style" w:hAnsi="Bookman Old Style"/>
          <w:bCs/>
        </w:rPr>
        <w:t>Vlerësimet e bëra nga Komisionet e ekspertëve që shqyrtuan të gjitha vendimet gjyqësore të dhëna nga gjyqtarët dhe të gjitha aktet e përpiluara në dosjet gjyqësore të prokurorëve.</w:t>
      </w:r>
    </w:p>
    <w:p w:rsidR="002E4C6C" w:rsidRPr="00F02DA5" w:rsidRDefault="002E4C6C" w:rsidP="003C4BF1">
      <w:pPr>
        <w:numPr>
          <w:ilvl w:val="0"/>
          <w:numId w:val="10"/>
        </w:numPr>
        <w:spacing w:after="0" w:line="240" w:lineRule="auto"/>
        <w:jc w:val="both"/>
        <w:rPr>
          <w:rFonts w:ascii="Bookman Old Style" w:hAnsi="Bookman Old Style"/>
          <w:bCs/>
        </w:rPr>
      </w:pPr>
      <w:r w:rsidRPr="00F02DA5">
        <w:rPr>
          <w:rFonts w:ascii="Bookman Old Style" w:hAnsi="Bookman Old Style"/>
          <w:bCs/>
        </w:rPr>
        <w:t>Karakteristikat që kryetarët e Gjykatave dhe Prokurorët e rretheve depozituan në Shkollën e Magjistraturës në përfundim të kohës së kryerjes së stazhit.</w:t>
      </w:r>
    </w:p>
    <w:p w:rsidR="002E4C6C" w:rsidRPr="00F02DA5" w:rsidRDefault="002E4C6C" w:rsidP="003C4BF1">
      <w:pPr>
        <w:numPr>
          <w:ilvl w:val="0"/>
          <w:numId w:val="10"/>
        </w:numPr>
        <w:spacing w:after="0" w:line="240" w:lineRule="auto"/>
        <w:jc w:val="both"/>
        <w:rPr>
          <w:rFonts w:ascii="Bookman Old Style" w:hAnsi="Bookman Old Style"/>
          <w:bCs/>
        </w:rPr>
      </w:pPr>
      <w:r w:rsidRPr="00F02DA5">
        <w:rPr>
          <w:rFonts w:ascii="Bookman Old Style" w:hAnsi="Bookman Old Style"/>
          <w:bCs/>
        </w:rPr>
        <w:t xml:space="preserve">Vlerësimet e shprehura në pikë për cilësinë e përpilimit të vendimeve gjyqësore dhe akteve të hetimit të dosjeve gjyqësore, si dhe mënyrës së zgjidhjes së cështjeve, të argumentimit ligjor, të llogjikës, të shkrimit dhe arsyetimit ligjor. Ky vlerësim u krye nga analiza dhe monitorimi që iu bë dosjes personale të çdo kandidati nga një komision i caktuar nga Drejtoria e Shkollës. Ndarja e dosjeve vazhdoi të bëhet me short edhe në këtë vit akademik duke sigururar anonimatin e pedagogëve që bënë vlerësimin e vendimeve, për të rritur në këtë mënyrë shkallën e objektivitetit në vlerësimin e kandidatëve. Vlerësimi u bë duke zbatuar mënyrën e vlerësimit të kryqëzuar ose paralelisht (cross evaluation) nga të paktën dy pedagogë. </w:t>
      </w:r>
    </w:p>
    <w:p w:rsidR="002E4C6C" w:rsidRPr="00F02DA5" w:rsidRDefault="002E4C6C" w:rsidP="003C4BF1">
      <w:pPr>
        <w:numPr>
          <w:ilvl w:val="0"/>
          <w:numId w:val="10"/>
        </w:numPr>
        <w:spacing w:after="0" w:line="240" w:lineRule="auto"/>
        <w:jc w:val="both"/>
        <w:rPr>
          <w:rFonts w:ascii="Bookman Old Style" w:hAnsi="Bookman Old Style"/>
          <w:bCs/>
        </w:rPr>
      </w:pPr>
      <w:r w:rsidRPr="00F02DA5">
        <w:rPr>
          <w:rFonts w:ascii="Bookman Old Style" w:hAnsi="Bookman Old Style"/>
          <w:bCs/>
        </w:rPr>
        <w:t>Vlerësimi i prezantimit të një dosje apo cështje gjyqësore i kryer nga cdo kandidat për magjistrat para mbledhjes së Këshillit Pedagogjik të Shkollës.</w:t>
      </w:r>
    </w:p>
    <w:p w:rsidR="002E4C6C" w:rsidRPr="00F02DA5" w:rsidRDefault="002E4C6C" w:rsidP="003C4BF1">
      <w:pPr>
        <w:numPr>
          <w:ilvl w:val="0"/>
          <w:numId w:val="10"/>
        </w:numPr>
        <w:spacing w:after="0" w:line="240" w:lineRule="auto"/>
        <w:jc w:val="both"/>
        <w:rPr>
          <w:rFonts w:ascii="Bookman Old Style" w:hAnsi="Bookman Old Style"/>
          <w:bCs/>
        </w:rPr>
      </w:pPr>
      <w:r w:rsidRPr="00F02DA5">
        <w:rPr>
          <w:rFonts w:ascii="Bookman Old Style" w:hAnsi="Bookman Old Style"/>
          <w:bCs/>
        </w:rPr>
        <w:t>Karakteristikave të bëra nga mbledhja e zgjeruar e Këshillit Pedagogjik.</w:t>
      </w:r>
    </w:p>
    <w:p w:rsidR="002E4C6C" w:rsidRPr="00F02DA5" w:rsidRDefault="002E4C6C" w:rsidP="002E4C6C">
      <w:pPr>
        <w:jc w:val="both"/>
        <w:rPr>
          <w:rFonts w:ascii="Bookman Old Style" w:hAnsi="Bookman Old Style"/>
          <w:bCs/>
        </w:rPr>
      </w:pPr>
    </w:p>
    <w:p w:rsidR="002E4C6C" w:rsidRPr="00F02DA5" w:rsidRDefault="002E4C6C" w:rsidP="002E4C6C">
      <w:pPr>
        <w:jc w:val="both"/>
        <w:rPr>
          <w:rFonts w:ascii="Bookman Old Style" w:hAnsi="Bookman Old Style"/>
        </w:rPr>
      </w:pPr>
      <w:r w:rsidRPr="00F02DA5">
        <w:rPr>
          <w:rFonts w:ascii="Bookman Old Style" w:hAnsi="Bookman Old Style"/>
          <w:b/>
          <w:bCs/>
          <w:u w:val="single"/>
        </w:rPr>
        <w:t>Vlerësimit përfundimtar</w:t>
      </w:r>
      <w:r w:rsidRPr="00F02DA5">
        <w:rPr>
          <w:rFonts w:ascii="Bookman Old Style" w:hAnsi="Bookman Old Style"/>
          <w:bCs/>
        </w:rPr>
        <w:t xml:space="preserve"> të bërë për kandidatët, për të tre vitet e kryerjes së Shkollës, bëhet</w:t>
      </w:r>
      <w:r w:rsidRPr="00F02DA5">
        <w:rPr>
          <w:rFonts w:ascii="Bookman Old Style" w:hAnsi="Bookman Old Style"/>
        </w:rPr>
        <w:t xml:space="preserve"> sipas skemës së miratuar në mbledhjen e Këshillit Pedagogjik, me nr.prot.43/1, dt. 05.07.2010, ku u ndryshuan grupimet e lëndëve,  si dhe skema e vlerësimit pëfundimtar të kandidatëve për magjistratë e cila hyri në fuqi në vitin akademik 2010 – 2011 për vitin e parë, dhe sipas urdhrit nr.38 datë 23.04.2015 për vlerësimin përfundimtar në fund të vitit të tretë për efekt diplomimi. </w:t>
      </w:r>
    </w:p>
    <w:p w:rsidR="002E4C6C" w:rsidRPr="00F02DA5" w:rsidRDefault="002E4C6C" w:rsidP="002E4C6C">
      <w:pPr>
        <w:jc w:val="both"/>
        <w:rPr>
          <w:rFonts w:ascii="Bookman Old Style" w:hAnsi="Bookman Old Style"/>
          <w:bCs/>
        </w:rPr>
      </w:pPr>
      <w:r w:rsidRPr="00F02DA5">
        <w:rPr>
          <w:rFonts w:ascii="Bookman Old Style" w:hAnsi="Bookman Old Style"/>
          <w:bCs/>
        </w:rPr>
        <w:lastRenderedPageBreak/>
        <w:t>Vlerësimi në mënyrë të detajuar nga Këshilli Pedagogjik dhe përbëhet nga komponentët e mëposhtëm:</w:t>
      </w:r>
    </w:p>
    <w:p w:rsidR="002E4C6C" w:rsidRPr="00F02DA5" w:rsidRDefault="002E4C6C" w:rsidP="003C4BF1">
      <w:pPr>
        <w:numPr>
          <w:ilvl w:val="0"/>
          <w:numId w:val="11"/>
        </w:numPr>
        <w:spacing w:after="0" w:line="240" w:lineRule="auto"/>
        <w:ind w:left="810"/>
        <w:jc w:val="both"/>
        <w:rPr>
          <w:rFonts w:ascii="Bookman Old Style" w:hAnsi="Bookman Old Style"/>
          <w:bCs/>
        </w:rPr>
      </w:pPr>
      <w:r w:rsidRPr="00F02DA5">
        <w:rPr>
          <w:rFonts w:ascii="Bookman Old Style" w:hAnsi="Bookman Old Style"/>
          <w:b/>
          <w:bCs/>
        </w:rPr>
        <w:t>Vlerësimi teorik i vitit të parë</w:t>
      </w:r>
      <w:r w:rsidRPr="00F02DA5">
        <w:rPr>
          <w:rFonts w:ascii="Bookman Old Style" w:hAnsi="Bookman Old Style"/>
          <w:bCs/>
        </w:rPr>
        <w:t>, (i bërë në bazë të proces-verbalit të mbajtur në mbledhjen e Këshillit Pedagogjik), si dhe frekuentimi i bërë nga kandidatët gjatë vitit të parë.</w:t>
      </w:r>
    </w:p>
    <w:p w:rsidR="002E4C6C" w:rsidRPr="00F02DA5" w:rsidRDefault="002E4C6C" w:rsidP="002E4C6C">
      <w:pPr>
        <w:spacing w:after="0" w:line="240" w:lineRule="auto"/>
        <w:ind w:left="810"/>
        <w:jc w:val="both"/>
        <w:rPr>
          <w:rFonts w:ascii="Bookman Old Style" w:hAnsi="Bookman Old Style"/>
          <w:bCs/>
        </w:rPr>
      </w:pPr>
    </w:p>
    <w:p w:rsidR="002E4C6C" w:rsidRPr="00F02DA5" w:rsidRDefault="002E4C6C" w:rsidP="003C4BF1">
      <w:pPr>
        <w:numPr>
          <w:ilvl w:val="0"/>
          <w:numId w:val="11"/>
        </w:numPr>
        <w:spacing w:after="0" w:line="240" w:lineRule="auto"/>
        <w:ind w:left="810"/>
        <w:jc w:val="both"/>
        <w:rPr>
          <w:rFonts w:ascii="Bookman Old Style" w:hAnsi="Bookman Old Style"/>
          <w:bCs/>
        </w:rPr>
      </w:pPr>
      <w:r w:rsidRPr="00F02DA5">
        <w:rPr>
          <w:rFonts w:ascii="Bookman Old Style" w:hAnsi="Bookman Old Style"/>
          <w:b/>
          <w:bCs/>
        </w:rPr>
        <w:t xml:space="preserve">Vlerësimi teorik i vitit të dytë </w:t>
      </w:r>
      <w:r w:rsidRPr="00F02DA5">
        <w:rPr>
          <w:rFonts w:ascii="Bookman Old Style" w:hAnsi="Bookman Old Style"/>
          <w:bCs/>
        </w:rPr>
        <w:t>(i bërë në bazë të proces-verbalit të mbajtur në mbledhjen e Këshillit Pedagogjik) si dhe frekuentimi i bërë nga kandidatët gjatë vitit të dytë.</w:t>
      </w:r>
    </w:p>
    <w:p w:rsidR="002E4C6C" w:rsidRPr="00F02DA5" w:rsidRDefault="002E4C6C" w:rsidP="002E4C6C">
      <w:pPr>
        <w:spacing w:after="0" w:line="240" w:lineRule="auto"/>
        <w:jc w:val="both"/>
        <w:rPr>
          <w:rFonts w:ascii="Bookman Old Style" w:hAnsi="Bookman Old Style"/>
          <w:bCs/>
        </w:rPr>
      </w:pPr>
    </w:p>
    <w:p w:rsidR="002E4C6C" w:rsidRPr="00F02DA5" w:rsidRDefault="002E4C6C" w:rsidP="003C4BF1">
      <w:pPr>
        <w:numPr>
          <w:ilvl w:val="0"/>
          <w:numId w:val="11"/>
        </w:numPr>
        <w:spacing w:after="0" w:line="240" w:lineRule="auto"/>
        <w:ind w:left="720" w:hanging="294"/>
        <w:jc w:val="both"/>
        <w:rPr>
          <w:rFonts w:ascii="Bookman Old Style" w:hAnsi="Bookman Old Style"/>
          <w:bCs/>
        </w:rPr>
      </w:pPr>
      <w:r w:rsidRPr="00F02DA5">
        <w:rPr>
          <w:rFonts w:ascii="Bookman Old Style" w:hAnsi="Bookman Old Style"/>
          <w:b/>
          <w:bCs/>
        </w:rPr>
        <w:t>Vlerësimi praktik i vitit të dytë</w:t>
      </w:r>
      <w:r w:rsidRPr="00F02DA5">
        <w:rPr>
          <w:rFonts w:ascii="Bookman Old Style" w:hAnsi="Bookman Old Style"/>
          <w:bCs/>
        </w:rPr>
        <w:t>, (stazhi paraprofesional),  i propozuar nga pedagogu i stazhit paraprofesional dhe miratuar nga Këshillli Pedagogjik.</w:t>
      </w:r>
    </w:p>
    <w:p w:rsidR="002E4C6C" w:rsidRPr="00F02DA5" w:rsidRDefault="002E4C6C" w:rsidP="002E4C6C">
      <w:pPr>
        <w:spacing w:after="0" w:line="240" w:lineRule="auto"/>
        <w:jc w:val="both"/>
        <w:rPr>
          <w:rFonts w:ascii="Bookman Old Style" w:hAnsi="Bookman Old Style"/>
          <w:bCs/>
        </w:rPr>
      </w:pPr>
    </w:p>
    <w:p w:rsidR="002E4C6C" w:rsidRPr="00F02DA5" w:rsidRDefault="002E4C6C" w:rsidP="003C4BF1">
      <w:pPr>
        <w:numPr>
          <w:ilvl w:val="0"/>
          <w:numId w:val="11"/>
        </w:numPr>
        <w:spacing w:after="0" w:line="240" w:lineRule="auto"/>
        <w:ind w:left="810"/>
        <w:jc w:val="both"/>
        <w:rPr>
          <w:rFonts w:ascii="Bookman Old Style" w:hAnsi="Bookman Old Style"/>
          <w:bCs/>
        </w:rPr>
      </w:pPr>
      <w:r w:rsidRPr="00F02DA5">
        <w:rPr>
          <w:rFonts w:ascii="Bookman Old Style" w:hAnsi="Bookman Old Style"/>
          <w:b/>
          <w:bCs/>
        </w:rPr>
        <w:t>Vlerësimi i bërë për mbrojtjen e temave</w:t>
      </w:r>
      <w:r w:rsidRPr="00F02DA5">
        <w:rPr>
          <w:rFonts w:ascii="Bookman Old Style" w:hAnsi="Bookman Old Style"/>
          <w:bCs/>
        </w:rPr>
        <w:t xml:space="preserve"> nga komisioni i ngritur nga Drejtoria e Shkollës, të përgatitura nga kandidatët gjatë vitit të dytë. </w:t>
      </w:r>
    </w:p>
    <w:p w:rsidR="002E4C6C" w:rsidRPr="00F02DA5" w:rsidRDefault="002E4C6C" w:rsidP="002E4C6C">
      <w:pPr>
        <w:spacing w:after="0" w:line="240" w:lineRule="auto"/>
        <w:jc w:val="both"/>
        <w:rPr>
          <w:rFonts w:ascii="Bookman Old Style" w:hAnsi="Bookman Old Style"/>
          <w:bCs/>
        </w:rPr>
      </w:pPr>
    </w:p>
    <w:p w:rsidR="002E4C6C" w:rsidRPr="00F02DA5" w:rsidRDefault="002E4C6C" w:rsidP="003C4BF1">
      <w:pPr>
        <w:numPr>
          <w:ilvl w:val="0"/>
          <w:numId w:val="11"/>
        </w:numPr>
        <w:spacing w:after="0" w:line="240" w:lineRule="auto"/>
        <w:ind w:left="810"/>
        <w:jc w:val="both"/>
        <w:rPr>
          <w:rFonts w:ascii="Bookman Old Style" w:hAnsi="Bookman Old Style"/>
          <w:bCs/>
        </w:rPr>
      </w:pPr>
      <w:r w:rsidRPr="00F02DA5">
        <w:rPr>
          <w:rFonts w:ascii="Bookman Old Style" w:hAnsi="Bookman Old Style"/>
          <w:b/>
          <w:bCs/>
        </w:rPr>
        <w:t>Vlerësimi praktik</w:t>
      </w:r>
      <w:r w:rsidRPr="00F02DA5">
        <w:rPr>
          <w:rFonts w:ascii="Bookman Old Style" w:hAnsi="Bookman Old Style"/>
          <w:bCs/>
        </w:rPr>
        <w:t xml:space="preserve"> i bërë nga dy pedagogët përgjegjës.</w:t>
      </w:r>
    </w:p>
    <w:p w:rsidR="002E4C6C" w:rsidRPr="00F02DA5" w:rsidRDefault="002E4C6C" w:rsidP="002E4C6C">
      <w:pPr>
        <w:spacing w:after="0" w:line="240" w:lineRule="auto"/>
        <w:ind w:left="450"/>
        <w:jc w:val="both"/>
        <w:rPr>
          <w:rFonts w:ascii="Bookman Old Style" w:hAnsi="Bookman Old Style"/>
          <w:bCs/>
        </w:rPr>
      </w:pPr>
    </w:p>
    <w:p w:rsidR="002E4C6C" w:rsidRPr="00F02DA5" w:rsidRDefault="002E4C6C" w:rsidP="003C4BF1">
      <w:pPr>
        <w:numPr>
          <w:ilvl w:val="0"/>
          <w:numId w:val="11"/>
        </w:numPr>
        <w:spacing w:after="0" w:line="240" w:lineRule="auto"/>
        <w:ind w:left="851"/>
        <w:jc w:val="both"/>
        <w:rPr>
          <w:rFonts w:ascii="Bookman Old Style" w:hAnsi="Bookman Old Style"/>
          <w:bCs/>
        </w:rPr>
      </w:pPr>
      <w:r w:rsidRPr="00F02DA5">
        <w:rPr>
          <w:rFonts w:ascii="Bookman Old Style" w:hAnsi="Bookman Old Style"/>
          <w:b/>
          <w:bCs/>
        </w:rPr>
        <w:t>Vlerësimi përfundimtar</w:t>
      </w:r>
      <w:r w:rsidRPr="00F02DA5">
        <w:rPr>
          <w:rFonts w:ascii="Bookman Old Style" w:hAnsi="Bookman Old Style"/>
          <w:bCs/>
        </w:rPr>
        <w:t xml:space="preserve"> për çdo kandidat vendoset pasi të jepet vlerësimi i çdo anëtari të Këshillit Pedagogjik, me qëllim që vendim marrja të jetë sa më kolegjiale dhe sa më objektive e pikave si më poshtë:</w:t>
      </w:r>
    </w:p>
    <w:p w:rsidR="002E4C6C" w:rsidRPr="00F02DA5" w:rsidRDefault="002E4C6C" w:rsidP="002E4C6C">
      <w:pPr>
        <w:spacing w:after="0" w:line="240" w:lineRule="auto"/>
        <w:ind w:left="720"/>
        <w:jc w:val="both"/>
        <w:rPr>
          <w:rFonts w:ascii="Bookman Old Style" w:hAnsi="Bookman Old Style"/>
          <w:bCs/>
        </w:rPr>
      </w:pPr>
    </w:p>
    <w:p w:rsidR="002E4C6C" w:rsidRPr="00F02DA5" w:rsidRDefault="002E4C6C" w:rsidP="003C4BF1">
      <w:pPr>
        <w:numPr>
          <w:ilvl w:val="1"/>
          <w:numId w:val="9"/>
        </w:numPr>
        <w:tabs>
          <w:tab w:val="clear" w:pos="1800"/>
          <w:tab w:val="left" w:pos="1080"/>
        </w:tabs>
        <w:spacing w:after="0" w:line="240" w:lineRule="auto"/>
        <w:jc w:val="both"/>
        <w:rPr>
          <w:rFonts w:ascii="Bookman Old Style" w:hAnsi="Bookman Old Style"/>
          <w:bCs/>
        </w:rPr>
      </w:pPr>
      <w:r w:rsidRPr="00F02DA5">
        <w:rPr>
          <w:rFonts w:ascii="Bookman Old Style" w:hAnsi="Bookman Old Style"/>
          <w:b/>
          <w:bCs/>
        </w:rPr>
        <w:t xml:space="preserve">Vlerësimi i </w:t>
      </w:r>
      <w:r w:rsidRPr="00F02DA5">
        <w:rPr>
          <w:rFonts w:ascii="Bookman Old Style" w:hAnsi="Bookman Old Style"/>
          <w:bCs/>
        </w:rPr>
        <w:t>bërë në bazë të punës së bërë nga kandidatët për magjistratë në stazhin profesional</w:t>
      </w:r>
      <w:r w:rsidRPr="00F02DA5">
        <w:rPr>
          <w:rStyle w:val="FootnoteReference"/>
          <w:rFonts w:ascii="Bookman Old Style" w:eastAsia="MS Mincho" w:hAnsi="Bookman Old Style"/>
          <w:bCs/>
        </w:rPr>
        <w:footnoteReference w:id="2"/>
      </w:r>
      <w:r w:rsidRPr="00F02DA5">
        <w:rPr>
          <w:rFonts w:ascii="Bookman Old Style" w:hAnsi="Bookman Old Style"/>
          <w:bCs/>
        </w:rPr>
        <w:t>.</w:t>
      </w:r>
    </w:p>
    <w:p w:rsidR="002E4C6C" w:rsidRPr="00F02DA5" w:rsidRDefault="002E4C6C" w:rsidP="003C4BF1">
      <w:pPr>
        <w:numPr>
          <w:ilvl w:val="1"/>
          <w:numId w:val="9"/>
        </w:numPr>
        <w:spacing w:after="0" w:line="240" w:lineRule="auto"/>
        <w:jc w:val="both"/>
        <w:rPr>
          <w:rFonts w:ascii="Bookman Old Style" w:hAnsi="Bookman Old Style"/>
          <w:bCs/>
        </w:rPr>
      </w:pPr>
      <w:r w:rsidRPr="00F02DA5">
        <w:rPr>
          <w:rFonts w:ascii="Bookman Old Style" w:hAnsi="Bookman Old Style"/>
          <w:b/>
          <w:bCs/>
        </w:rPr>
        <w:t xml:space="preserve">Vlerësimi i prezantimit </w:t>
      </w:r>
      <w:r w:rsidRPr="00F02DA5">
        <w:rPr>
          <w:rFonts w:ascii="Bookman Old Style" w:hAnsi="Bookman Old Style"/>
          <w:bCs/>
        </w:rPr>
        <w:t>nga kandidatët i një vendim gjyqësor apo çështje të zgjedhur prej tyre para Këshillit Pedagogjik .</w:t>
      </w:r>
    </w:p>
    <w:p w:rsidR="002E4C6C" w:rsidRPr="00F02DA5" w:rsidRDefault="002E4C6C" w:rsidP="002E4C6C">
      <w:pPr>
        <w:rPr>
          <w:rFonts w:ascii="Bookman Old Style" w:hAnsi="Bookman Old Style"/>
          <w:b/>
          <w:bCs/>
        </w:rPr>
      </w:pPr>
    </w:p>
    <w:p w:rsidR="002E4C6C" w:rsidRPr="00F02DA5" w:rsidRDefault="002E4C6C" w:rsidP="002E4C6C">
      <w:pPr>
        <w:jc w:val="both"/>
        <w:rPr>
          <w:rFonts w:ascii="Bookman Old Style" w:hAnsi="Bookman Old Style"/>
        </w:rPr>
      </w:pPr>
      <w:r w:rsidRPr="00F02DA5">
        <w:rPr>
          <w:rFonts w:ascii="Bookman Old Style" w:hAnsi="Bookman Old Style"/>
        </w:rPr>
        <w:t>Këshilli Pedagogjik e bëri vlerësimin sipas skemës (si më poshtë) e cila parashikon shumën e ponderuar të të gjitha rezultate të mara në Shkollën e Magjistraturës. Sipas  kësaj metode, nga përllogaritjet, vetëm rezultatet e lëndëve të grupit të parë do të shumëzohen me koeficent vështirësie 1.5, ndërsa  provimet e lëndëve të grupit të dytë (viti i parë dhe viti i dytë), rezultatet e temës dhe të praktikës mësimore, dhe të vlerësimit të vitit të tretë do të vendosen të llogaritura me koeficent një, d.m.th me shumën faktike të marrë nga kandidati.</w:t>
      </w:r>
    </w:p>
    <w:p w:rsidR="002E4C6C" w:rsidRPr="00F02DA5" w:rsidRDefault="002E4C6C" w:rsidP="002E4C6C">
      <w:pPr>
        <w:jc w:val="both"/>
        <w:rPr>
          <w:rFonts w:ascii="Bookman Old Style" w:hAnsi="Bookman Old Style"/>
        </w:rPr>
      </w:pPr>
      <w:r w:rsidRPr="00F02DA5">
        <w:rPr>
          <w:rFonts w:ascii="Bookman Old Style" w:hAnsi="Bookman Old Style"/>
        </w:rPr>
        <w:t>Niveli “ Shkëlqyeshëm” është      100    (njëqind) pikë</w:t>
      </w:r>
    </w:p>
    <w:p w:rsidR="002E4C6C" w:rsidRPr="00F02DA5" w:rsidRDefault="002E4C6C" w:rsidP="002E4C6C">
      <w:pPr>
        <w:jc w:val="both"/>
        <w:rPr>
          <w:rFonts w:ascii="Bookman Old Style" w:hAnsi="Bookman Old Style"/>
        </w:rPr>
      </w:pPr>
      <w:r w:rsidRPr="00F02DA5">
        <w:rPr>
          <w:rFonts w:ascii="Bookman Old Style" w:hAnsi="Bookman Old Style"/>
        </w:rPr>
        <w:t xml:space="preserve">Niveli “ Shumë mirë”    është </w:t>
      </w:r>
      <w:r w:rsidRPr="00F02DA5">
        <w:rPr>
          <w:rFonts w:ascii="Bookman Old Style" w:hAnsi="Bookman Old Style"/>
        </w:rPr>
        <w:tab/>
        <w:t>90-99  (nëntëdhjetë deri  nëntëdhjete e nëntë)  pikë</w:t>
      </w:r>
    </w:p>
    <w:p w:rsidR="002E4C6C" w:rsidRPr="00F02DA5" w:rsidRDefault="002E4C6C" w:rsidP="002E4C6C">
      <w:pPr>
        <w:jc w:val="both"/>
        <w:rPr>
          <w:rFonts w:ascii="Bookman Old Style" w:hAnsi="Bookman Old Style"/>
        </w:rPr>
      </w:pPr>
      <w:r w:rsidRPr="00F02DA5">
        <w:rPr>
          <w:rFonts w:ascii="Bookman Old Style" w:hAnsi="Bookman Old Style"/>
        </w:rPr>
        <w:t>Niveli “ Mirë”               është   70-89   (shtatëdhjetë deri tetëdhjetë e nëntë)     pikë</w:t>
      </w:r>
    </w:p>
    <w:p w:rsidR="002E4C6C" w:rsidRPr="00F02DA5" w:rsidRDefault="002E4C6C" w:rsidP="002E4C6C">
      <w:pPr>
        <w:jc w:val="both"/>
        <w:rPr>
          <w:rFonts w:ascii="Bookman Old Style" w:hAnsi="Bookman Old Style"/>
        </w:rPr>
      </w:pPr>
      <w:r w:rsidRPr="00F02DA5">
        <w:rPr>
          <w:rFonts w:ascii="Bookman Old Style" w:hAnsi="Bookman Old Style"/>
        </w:rPr>
        <w:t>Niveli “ Mjaftueshëm”   është  50-69  (pesëdhjetë deri gjashtëdhjetë e nëntë)   pikë</w:t>
      </w:r>
    </w:p>
    <w:p w:rsidR="002E4C6C" w:rsidRDefault="002E4C6C" w:rsidP="002E4C6C">
      <w:pPr>
        <w:jc w:val="both"/>
        <w:rPr>
          <w:rFonts w:ascii="Bookman Old Style" w:eastAsia="MS Mincho" w:hAnsi="Bookman Old Style"/>
          <w:b/>
          <w:u w:val="single"/>
          <w:lang w:eastAsia="en-GB"/>
        </w:rPr>
      </w:pPr>
      <w:r w:rsidRPr="00F02DA5">
        <w:rPr>
          <w:rFonts w:ascii="Bookman Old Style" w:eastAsia="MS Mincho" w:hAnsi="Bookman Old Style"/>
          <w:b/>
          <w:u w:val="single"/>
          <w:lang w:eastAsia="en-GB"/>
        </w:rPr>
        <w:t>Skema e vlerësimit të vitit të parë të dytë dhe të tretë</w:t>
      </w:r>
    </w:p>
    <w:p w:rsidR="002E4C6C" w:rsidRDefault="002E4C6C" w:rsidP="002E4C6C">
      <w:pPr>
        <w:jc w:val="both"/>
        <w:rPr>
          <w:rFonts w:ascii="Bookman Old Style" w:eastAsia="MS Mincho" w:hAnsi="Bookman Old Style"/>
          <w:b/>
          <w:u w:val="single"/>
          <w:lang w:eastAsia="en-GB"/>
        </w:rPr>
      </w:pPr>
    </w:p>
    <w:p w:rsidR="002E4C6C" w:rsidRPr="00F02DA5" w:rsidRDefault="002E4C6C" w:rsidP="002E4C6C">
      <w:pPr>
        <w:jc w:val="both"/>
        <w:rPr>
          <w:rFonts w:ascii="Bookman Old Style" w:eastAsia="MS Mincho" w:hAnsi="Bookman Old Style"/>
          <w:b/>
          <w:u w:val="single"/>
          <w:lang w:eastAsia="en-GB"/>
        </w:rPr>
      </w:pPr>
    </w:p>
    <w:p w:rsidR="002E4C6C" w:rsidRPr="00F02DA5" w:rsidRDefault="002E4C6C" w:rsidP="002E4C6C">
      <w:pPr>
        <w:tabs>
          <w:tab w:val="left" w:pos="8130"/>
        </w:tabs>
        <w:rPr>
          <w:rFonts w:ascii="Bookman Old Style" w:hAnsi="Bookman Old Style" w:cs="Arial"/>
          <w:lang w:eastAsia="en-GB"/>
        </w:rPr>
      </w:pPr>
      <w:bookmarkStart w:id="5" w:name="OLE_LINK34"/>
      <w:bookmarkStart w:id="6" w:name="OLE_LINK35"/>
      <w:bookmarkStart w:id="7" w:name="OLE_LINK31"/>
      <w:bookmarkStart w:id="8" w:name="OLE_LINK32"/>
      <w:bookmarkStart w:id="9" w:name="OLE_LINK33"/>
      <w:r>
        <w:rPr>
          <w:rFonts w:ascii="Bookman Old Style" w:hAnsi="Bookman Old Style" w:cs="Arial"/>
          <w:lang w:eastAsia="en-GB"/>
        </w:rPr>
        <w:t xml:space="preserve">                      ___</w:t>
      </w:r>
      <w:r w:rsidR="00A03A7C">
        <w:rPr>
          <w:rFonts w:ascii="Bookman Old Style" w:hAnsi="Bookman Old Style" w:cs="Arial"/>
          <w:lang w:eastAsia="en-GB"/>
        </w:rPr>
        <w:t xml:space="preserve">         ___                                             ___                              ___    </w:t>
      </w:r>
      <w:r w:rsidRPr="00F02DA5">
        <w:rPr>
          <w:rFonts w:ascii="Bookman Old Style" w:hAnsi="Bookman Old Style" w:cs="Arial"/>
          <w:lang w:eastAsia="en-GB"/>
        </w:rPr>
        <w:tab/>
      </w:r>
      <w:r w:rsidRPr="00F02DA5">
        <w:rPr>
          <w:rFonts w:ascii="Bookman Old Style" w:hAnsi="Bookman Old Style" w:cs="Arial"/>
          <w:vertAlign w:val="superscript"/>
          <w:lang w:eastAsia="en-GB"/>
        </w:rPr>
        <w:footnoteReference w:id="3"/>
      </w:r>
    </w:p>
    <w:p w:rsidR="002E4C6C" w:rsidRPr="002E4C6C" w:rsidRDefault="004F065D" w:rsidP="002E4C6C">
      <w:pPr>
        <w:rPr>
          <w:rFonts w:ascii="Bookman Old Style" w:hAnsi="Bookman Old Style"/>
          <w:lang w:eastAsia="en-GB"/>
        </w:rPr>
      </w:pPr>
      <m:oMathPara>
        <m:oMath>
          <w:bookmarkEnd w:id="5"/>
          <w:bookmarkEnd w:id="6"/>
          <m:nary>
            <m:naryPr>
              <m:chr m:val="∑"/>
              <m:limLoc m:val="subSup"/>
              <m:supHide m:val="on"/>
              <m:ctrlPr>
                <w:rPr>
                  <w:rFonts w:ascii="Cambria Math" w:eastAsia="Calibri" w:hAnsi="Arial" w:cs="Arial"/>
                  <w:i/>
                  <w:sz w:val="32"/>
                  <w:szCs w:val="32"/>
                  <w:lang w:eastAsia="ja-JP"/>
                </w:rPr>
              </m:ctrlPr>
            </m:naryPr>
            <m:sub>
              <m:r>
                <w:rPr>
                  <w:rFonts w:ascii="Cambria Math" w:eastAsia="Calibri" w:hAnsi="Cambria Math" w:cs="Arial"/>
                  <w:sz w:val="32"/>
                  <w:szCs w:val="32"/>
                  <w:lang w:eastAsia="ja-JP"/>
                </w:rPr>
                <m:t>p</m:t>
              </m:r>
            </m:sub>
            <m:sup/>
            <m:e>
              <m:r>
                <w:rPr>
                  <w:rFonts w:ascii="Cambria Math" w:eastAsia="Calibri" w:hAnsi="Arial" w:cs="Arial"/>
                  <w:sz w:val="32"/>
                  <w:szCs w:val="32"/>
                  <w:lang w:eastAsia="ja-JP"/>
                </w:rPr>
                <m:t>=</m:t>
              </m:r>
            </m:e>
          </m:nary>
          <m:nary>
            <m:naryPr>
              <m:chr m:val="∑"/>
              <m:limLoc m:val="undOvr"/>
              <m:supHide m:val="on"/>
              <m:ctrlPr>
                <w:rPr>
                  <w:rFonts w:ascii="Cambria Math" w:eastAsia="Calibri" w:hAnsi="Cambria Math" w:cs="Arial"/>
                  <w:i/>
                  <w:sz w:val="32"/>
                  <w:szCs w:val="32"/>
                  <w:lang w:eastAsia="ja-JP"/>
                </w:rPr>
              </m:ctrlPr>
            </m:naryPr>
            <m:sub>
              <m:r>
                <w:rPr>
                  <w:rFonts w:ascii="Cambria Math" w:eastAsia="Calibri" w:hAnsi="Cambria Math" w:cs="Arial"/>
                  <w:sz w:val="32"/>
                  <w:szCs w:val="32"/>
                  <w:lang w:eastAsia="ja-JP"/>
                </w:rPr>
                <m:t>Viti I</m:t>
              </m:r>
            </m:sub>
            <m:sup/>
            <m:e>
              <m:d>
                <m:dPr>
                  <m:ctrlPr>
                    <w:rPr>
                      <w:rFonts w:ascii="Cambria Math" w:eastAsia="Calibri" w:hAnsi="Arial" w:cs="Arial"/>
                      <w:i/>
                      <w:sz w:val="32"/>
                      <w:szCs w:val="32"/>
                    </w:rPr>
                  </m:ctrlPr>
                </m:dPr>
                <m:e>
                  <m:sSub>
                    <m:sSubPr>
                      <m:ctrlPr>
                        <w:rPr>
                          <w:rFonts w:ascii="Cambria Math" w:eastAsia="Calibri" w:hAnsi="Arial" w:cs="Arial"/>
                          <w:i/>
                          <w:sz w:val="32"/>
                          <w:szCs w:val="32"/>
                        </w:rPr>
                      </m:ctrlPr>
                    </m:sSubPr>
                    <m:e>
                      <m:r>
                        <w:rPr>
                          <w:rFonts w:ascii="Cambria Math" w:eastAsia="Calibri" w:hAnsi="Cambria Math" w:cs="Arial"/>
                          <w:sz w:val="32"/>
                          <w:szCs w:val="32"/>
                        </w:rPr>
                        <m:t>x</m:t>
                      </m:r>
                    </m:e>
                    <m:sub>
                      <m:r>
                        <w:rPr>
                          <w:rFonts w:ascii="Cambria Math" w:eastAsia="Calibri" w:hAnsi="Arial" w:cs="Arial"/>
                          <w:sz w:val="32"/>
                          <w:szCs w:val="32"/>
                        </w:rPr>
                        <m:t>1</m:t>
                      </m:r>
                    </m:sub>
                  </m:sSub>
                  <m:r>
                    <w:rPr>
                      <w:rFonts w:ascii="Cambria Math" w:eastAsia="Calibri" w:hAnsi="Cambria Math" w:cs="Arial"/>
                      <w:sz w:val="32"/>
                      <w:szCs w:val="32"/>
                    </w:rPr>
                    <m:t>*</m:t>
                  </m:r>
                  <m:sSub>
                    <m:sSubPr>
                      <m:ctrlPr>
                        <w:rPr>
                          <w:rFonts w:ascii="Cambria Math" w:eastAsia="Calibri" w:hAnsi="Arial" w:cs="Arial"/>
                          <w:i/>
                          <w:sz w:val="32"/>
                          <w:szCs w:val="32"/>
                        </w:rPr>
                      </m:ctrlPr>
                    </m:sSubPr>
                    <m:e>
                      <m:r>
                        <w:rPr>
                          <w:rFonts w:ascii="Cambria Math" w:eastAsia="Calibri" w:hAnsi="Cambria Math" w:cs="Arial"/>
                          <w:sz w:val="32"/>
                          <w:szCs w:val="32"/>
                        </w:rPr>
                        <m:t>f</m:t>
                      </m:r>
                    </m:e>
                    <m:sub>
                      <m:r>
                        <w:rPr>
                          <w:rFonts w:ascii="Cambria Math" w:eastAsia="Calibri" w:hAnsi="Arial" w:cs="Arial"/>
                          <w:sz w:val="32"/>
                          <w:szCs w:val="32"/>
                        </w:rPr>
                        <m:t>1</m:t>
                      </m:r>
                    </m:sub>
                  </m:sSub>
                  <m:r>
                    <w:rPr>
                      <w:rFonts w:ascii="Cambria Math" w:eastAsia="Calibri" w:hAnsi="Arial" w:cs="Arial"/>
                      <w:sz w:val="32"/>
                      <w:szCs w:val="32"/>
                    </w:rPr>
                    <m:t>+</m:t>
                  </m:r>
                  <m:sSub>
                    <m:sSubPr>
                      <m:ctrlPr>
                        <w:rPr>
                          <w:rFonts w:ascii="Cambria Math" w:eastAsia="Calibri" w:hAnsi="Arial" w:cs="Arial"/>
                          <w:i/>
                          <w:sz w:val="32"/>
                          <w:szCs w:val="32"/>
                        </w:rPr>
                      </m:ctrlPr>
                    </m:sSubPr>
                    <m:e>
                      <m:r>
                        <w:rPr>
                          <w:rFonts w:ascii="Cambria Math" w:eastAsia="Calibri" w:hAnsi="Cambria Math" w:cs="Arial"/>
                          <w:sz w:val="32"/>
                          <w:szCs w:val="32"/>
                        </w:rPr>
                        <m:t>x</m:t>
                      </m:r>
                    </m:e>
                    <m:sub>
                      <m:r>
                        <w:rPr>
                          <w:rFonts w:ascii="Cambria Math" w:eastAsia="Calibri" w:hAnsi="Arial" w:cs="Arial"/>
                          <w:sz w:val="32"/>
                          <w:szCs w:val="32"/>
                        </w:rPr>
                        <m:t>2</m:t>
                      </m:r>
                    </m:sub>
                  </m:sSub>
                  <m:r>
                    <w:rPr>
                      <w:rFonts w:ascii="Cambria Math" w:eastAsia="Calibri" w:hAnsi="Cambria Math" w:cs="Arial"/>
                      <w:sz w:val="32"/>
                      <w:szCs w:val="32"/>
                    </w:rPr>
                    <m:t>*</m:t>
                  </m:r>
                  <m:sSub>
                    <m:sSubPr>
                      <m:ctrlPr>
                        <w:rPr>
                          <w:rFonts w:ascii="Cambria Math" w:eastAsia="Calibri" w:hAnsi="Arial" w:cs="Arial"/>
                          <w:i/>
                          <w:sz w:val="32"/>
                          <w:szCs w:val="32"/>
                        </w:rPr>
                      </m:ctrlPr>
                    </m:sSubPr>
                    <m:e>
                      <m:r>
                        <w:rPr>
                          <w:rFonts w:ascii="Cambria Math" w:eastAsia="Calibri" w:hAnsi="Cambria Math" w:cs="Arial"/>
                          <w:sz w:val="32"/>
                          <w:szCs w:val="32"/>
                        </w:rPr>
                        <m:t>f</m:t>
                      </m:r>
                    </m:e>
                    <m:sub>
                      <m:r>
                        <w:rPr>
                          <w:rFonts w:ascii="Cambria Math" w:eastAsia="Calibri" w:hAnsi="Arial" w:cs="Arial"/>
                          <w:sz w:val="32"/>
                          <w:szCs w:val="32"/>
                        </w:rPr>
                        <m:t xml:space="preserve">2 </m:t>
                      </m:r>
                    </m:sub>
                  </m:sSub>
                </m:e>
              </m:d>
            </m:e>
          </m:nary>
          <m:r>
            <w:rPr>
              <w:rFonts w:ascii="Cambria Math" w:eastAsia="Calibri" w:hAnsi="Cambria Math" w:cs="Arial"/>
              <w:sz w:val="32"/>
              <w:szCs w:val="32"/>
              <w:lang w:eastAsia="ja-JP"/>
            </w:rPr>
            <m:t>+</m:t>
          </m:r>
          <m:nary>
            <m:naryPr>
              <m:chr m:val="∑"/>
              <m:limLoc m:val="undOvr"/>
              <m:supHide m:val="on"/>
              <m:ctrlPr>
                <w:rPr>
                  <w:rFonts w:ascii="Cambria Math" w:eastAsia="Calibri" w:hAnsi="Cambria Math" w:cs="Arial"/>
                  <w:i/>
                  <w:sz w:val="32"/>
                  <w:szCs w:val="32"/>
                  <w:lang w:eastAsia="ja-JP"/>
                </w:rPr>
              </m:ctrlPr>
            </m:naryPr>
            <m:sub>
              <m:r>
                <w:rPr>
                  <w:rFonts w:ascii="Cambria Math" w:eastAsia="Calibri" w:hAnsi="Cambria Math" w:cs="Arial"/>
                  <w:sz w:val="32"/>
                  <w:szCs w:val="32"/>
                  <w:lang w:eastAsia="ja-JP"/>
                </w:rPr>
                <m:t>Viti II</m:t>
              </m:r>
            </m:sub>
            <m:sup/>
            <m:e>
              <m:d>
                <m:dPr>
                  <m:ctrlPr>
                    <w:rPr>
                      <w:rFonts w:ascii="Cambria Math" w:eastAsia="Calibri" w:hAnsi="Arial" w:cs="Arial"/>
                      <w:i/>
                      <w:sz w:val="32"/>
                      <w:szCs w:val="32"/>
                    </w:rPr>
                  </m:ctrlPr>
                </m:dPr>
                <m:e>
                  <m:sSub>
                    <m:sSubPr>
                      <m:ctrlPr>
                        <w:rPr>
                          <w:rFonts w:ascii="Cambria Math" w:eastAsia="Calibri" w:hAnsi="Arial" w:cs="Arial"/>
                          <w:i/>
                          <w:sz w:val="32"/>
                          <w:szCs w:val="32"/>
                        </w:rPr>
                      </m:ctrlPr>
                    </m:sSubPr>
                    <m:e>
                      <m:r>
                        <w:rPr>
                          <w:rFonts w:ascii="Cambria Math" w:eastAsia="Calibri" w:hAnsi="Cambria Math" w:cs="Arial"/>
                          <w:sz w:val="32"/>
                          <w:szCs w:val="32"/>
                        </w:rPr>
                        <m:t>x</m:t>
                      </m:r>
                    </m:e>
                    <m:sub>
                      <m:r>
                        <w:rPr>
                          <w:rFonts w:ascii="Cambria Math" w:eastAsia="Calibri" w:hAnsi="Arial" w:cs="Arial"/>
                          <w:sz w:val="32"/>
                          <w:szCs w:val="32"/>
                        </w:rPr>
                        <m:t>3</m:t>
                      </m:r>
                    </m:sub>
                  </m:sSub>
                  <m:r>
                    <w:rPr>
                      <w:rFonts w:ascii="Cambria Math" w:eastAsia="Calibri" w:hAnsi="Arial" w:cs="Arial"/>
                      <w:sz w:val="32"/>
                      <w:szCs w:val="32"/>
                    </w:rPr>
                    <m:t>+</m:t>
                  </m:r>
                  <m:sSub>
                    <m:sSubPr>
                      <m:ctrlPr>
                        <w:rPr>
                          <w:rFonts w:ascii="Cambria Math" w:eastAsia="Calibri" w:hAnsi="Arial" w:cs="Arial"/>
                          <w:i/>
                          <w:sz w:val="32"/>
                          <w:szCs w:val="32"/>
                        </w:rPr>
                      </m:ctrlPr>
                    </m:sSubPr>
                    <m:e>
                      <m:r>
                        <w:rPr>
                          <w:rFonts w:ascii="Cambria Math" w:eastAsia="Calibri" w:hAnsi="Cambria Math" w:cs="Arial"/>
                          <w:sz w:val="32"/>
                          <w:szCs w:val="32"/>
                        </w:rPr>
                        <m:t>x</m:t>
                      </m:r>
                    </m:e>
                    <m:sub>
                      <m:r>
                        <w:rPr>
                          <w:rFonts w:ascii="Cambria Math" w:eastAsia="Calibri" w:hAnsi="Arial" w:cs="Arial"/>
                          <w:sz w:val="32"/>
                          <w:szCs w:val="32"/>
                        </w:rPr>
                        <m:t>4</m:t>
                      </m:r>
                    </m:sub>
                  </m:sSub>
                </m:e>
              </m:d>
              <m:r>
                <w:rPr>
                  <w:rFonts w:ascii="Cambria Math" w:eastAsia="Calibri" w:hAnsi="Arial" w:cs="Arial"/>
                  <w:sz w:val="32"/>
                  <w:szCs w:val="32"/>
                </w:rPr>
                <m:t>+</m:t>
              </m:r>
              <m:nary>
                <m:naryPr>
                  <m:chr m:val="∑"/>
                  <m:limLoc m:val="undOvr"/>
                  <m:supHide m:val="on"/>
                  <m:ctrlPr>
                    <w:rPr>
                      <w:rFonts w:ascii="Cambria Math" w:eastAsia="Calibri" w:hAnsi="Cambria Math" w:cs="Arial"/>
                      <w:i/>
                      <w:sz w:val="32"/>
                      <w:szCs w:val="32"/>
                      <w:lang w:eastAsia="ja-JP"/>
                    </w:rPr>
                  </m:ctrlPr>
                </m:naryPr>
                <m:sub>
                  <m:r>
                    <w:rPr>
                      <w:rFonts w:ascii="Cambria Math" w:eastAsia="Calibri" w:hAnsi="Cambria Math" w:cs="Arial"/>
                      <w:sz w:val="32"/>
                      <w:szCs w:val="32"/>
                      <w:lang w:eastAsia="ja-JP"/>
                    </w:rPr>
                    <m:t>Viti III</m:t>
                  </m:r>
                </m:sub>
                <m:sup/>
                <m:e>
                  <m:sSub>
                    <m:sSubPr>
                      <m:ctrlPr>
                        <w:rPr>
                          <w:rFonts w:ascii="Cambria Math" w:eastAsia="Calibri" w:hAnsi="Arial" w:cs="Arial"/>
                          <w:i/>
                          <w:sz w:val="32"/>
                          <w:szCs w:val="32"/>
                        </w:rPr>
                      </m:ctrlPr>
                    </m:sSubPr>
                    <m:e>
                      <m:r>
                        <w:rPr>
                          <w:rFonts w:ascii="Cambria Math" w:eastAsia="Calibri" w:hAnsi="Cambria Math" w:cs="Arial"/>
                          <w:sz w:val="32"/>
                          <w:szCs w:val="32"/>
                        </w:rPr>
                        <m:t>x</m:t>
                      </m:r>
                    </m:e>
                    <m:sub>
                      <m:r>
                        <w:rPr>
                          <w:rFonts w:ascii="Cambria Math" w:eastAsia="Calibri" w:hAnsi="Arial" w:cs="Arial"/>
                          <w:sz w:val="32"/>
                          <w:szCs w:val="32"/>
                        </w:rPr>
                        <m:t>5</m:t>
                      </m:r>
                    </m:sub>
                  </m:sSub>
                </m:e>
              </m:nary>
            </m:e>
          </m:nary>
          <w:bookmarkEnd w:id="7"/>
          <w:bookmarkEnd w:id="8"/>
          <w:bookmarkEnd w:id="9"/>
        </m:oMath>
      </m:oMathPara>
    </w:p>
    <w:p w:rsidR="002E4C6C" w:rsidRPr="00F02DA5" w:rsidRDefault="004F065D" w:rsidP="002E4C6C">
      <w:pPr>
        <w:pStyle w:val="NoSpacing"/>
        <w:rPr>
          <w:rFonts w:ascii="Bookman Old Style" w:eastAsia="MS Mincho" w:hAnsi="Bookman Old Style"/>
          <w:sz w:val="22"/>
          <w:szCs w:val="22"/>
          <w:lang w:eastAsia="ja-JP"/>
        </w:rPr>
      </w:pPr>
      <w:r w:rsidRPr="004F065D">
        <w:rPr>
          <w:rFonts w:ascii="Bookman Old Style" w:hAnsi="Bookman Old Style"/>
          <w:noProof/>
          <w:sz w:val="22"/>
          <w:szCs w:val="22"/>
          <w:lang w:val="en-US"/>
        </w:rPr>
        <w:pict>
          <v:shapetype id="_x0000_t32" coordsize="21600,21600" o:spt="32" o:oned="t" path="m,l21600,21600e" filled="f">
            <v:path arrowok="t" fillok="f" o:connecttype="none"/>
            <o:lock v:ext="edit" shapetype="t"/>
          </v:shapetype>
          <v:shape id="Straight Arrow Connector 1" o:spid="_x0000_s1040" type="#_x0000_t32" style="position:absolute;margin-left:-1pt;margin-top:1.1pt;width:12.25pt;height:0;z-index:251672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egJQIAAEoEAAAOAAAAZHJzL2Uyb0RvYy54bWysVMGO2jAQvVfqP1i+QwiFXYgIq1UCvWy7&#10;SGw/wNgOsZp4LNsQUNV/79hAWtpLVTUHZ5yZeX7zZpzF06ltyFFap0DnNB2OKJGag1B6n9Mvb+vB&#10;jBLnmRasAS1zepaOPi3fv1t0JpNjqKER0hIE0S7rTE5r702WJI7XsmVuCEZqdFZgW+Zxa/eJsKxD&#10;9LZJxqPRQ9KBFcYCl87h1/LipMuIX1WS+9eqctKTJqfIzcfVxnUX1mS5YNneMlMrfqXB/oFFy5TG&#10;Q3uoknlGDlb9AdUqbsFB5Ycc2gSqSnEZa8Bq0tFv1WxrZmSsBcVxppfJ/T9Y/vm4sUSJnI6nlGjW&#10;Yo+23jK1rz15thY6UoDWqCNYkga5OuMyzCr0xoaC+UlvzQvwr45oKGqm9zLSfjsbhIoZyV1K2DiD&#10;h+66TyAwhh08RO1OlW0DJKpCTrFF575F8uQJx4/pdDp9RKb85kpYdssz1vmPEloSjJy6axk9/zSe&#10;wo4vzmMdmHhLCIdqWKumiePQaNLldD5FRYLHQaNEcMaN3e+KxpIjCwMVnyAKgt2FWThoEcFqycTq&#10;anummouN8Y0OeFgX0rlal4n5Nh/NV7PVbDKYjB9Wg8moLAfP62IyeFinj9PyQ1kUZfo9UEsnWa2E&#10;kDqwu01vOvm76bjeo8vc9fPby5Dco8cSkeztHUnHxoZeXqZiB+K8sUGN0GMc2Bh8vVzhRvy6j1E/&#10;fwHLHwAAAP//AwBQSwMEFAAGAAgAAAAhAMtdbCLZAAAABQEAAA8AAABkcnMvZG93bnJldi54bWxM&#10;j0FLw0AUhO+C/2F5ghdpN12oaMxLKYIHj7aFXl+zzySafRuymyb217t60eMww8w3xWZ2nTrzEFov&#10;CKtlBoql8raVGuGwf1k8gAqRxFLnhRG+OMCmvL4qKLd+kjc+72KtUomEnBCaGPtc61A17Cgsfc+S&#10;vHc/OIpJDrW2A02p3HXaZNm9dtRKWmio5+eGq8/d6BA4jOtVtn109eH1Mt0dzeVj6veItzfz9glU&#10;5Dn+heEHP6FDmZhOfhQbVIewMOlKRDAGVLKNWYM6/UpdFvo/ffkNAAD//wMAUEsBAi0AFAAGAAgA&#10;AAAhALaDOJL+AAAA4QEAABMAAAAAAAAAAAAAAAAAAAAAAFtDb250ZW50X1R5cGVzXS54bWxQSwEC&#10;LQAUAAYACAAAACEAOP0h/9YAAACUAQAACwAAAAAAAAAAAAAAAAAvAQAAX3JlbHMvLnJlbHNQSwEC&#10;LQAUAAYACAAAACEACp9noCUCAABKBAAADgAAAAAAAAAAAAAAAAAuAgAAZHJzL2Uyb0RvYy54bWxQ&#10;SwECLQAUAAYACAAAACEAy11sItkAAAAFAQAADwAAAAAAAAAAAAAAAAB/BAAAZHJzL2Rvd25yZXYu&#10;eG1sUEsFBgAAAAAEAAQA8wAAAIUFAAAAAA==&#10;"/>
        </w:pict>
      </w:r>
      <m:oMath>
        <m:nary>
          <m:naryPr>
            <m:chr m:val="∑"/>
            <m:limLoc m:val="subSup"/>
            <m:supHide m:val="on"/>
            <m:ctrlPr>
              <w:rPr>
                <w:rFonts w:ascii="Cambria Math" w:eastAsia="Calibri" w:hAnsi="Cambria Math" w:cs="Arial"/>
                <w:i/>
                <w:sz w:val="48"/>
                <w:szCs w:val="48"/>
                <w:lang w:val="en-US" w:eastAsia="ja-JP"/>
              </w:rPr>
            </m:ctrlPr>
          </m:naryPr>
          <m:sub>
            <m:r>
              <w:rPr>
                <w:rFonts w:ascii="Cambria Math" w:eastAsia="Calibri" w:hAnsi="Cambria Math" w:cs="Arial"/>
                <w:sz w:val="48"/>
                <w:szCs w:val="48"/>
                <w:lang w:val="en-US" w:eastAsia="ja-JP"/>
              </w:rPr>
              <m:t>p</m:t>
            </m:r>
          </m:sub>
          <m:sup/>
          <m:e>
            <m:r>
              <w:rPr>
                <w:rFonts w:ascii="Cambria Math" w:eastAsia="Calibri" w:hAnsi="Cambria Math" w:cs="Arial"/>
                <w:sz w:val="48"/>
                <w:szCs w:val="48"/>
                <w:lang w:val="en-US" w:eastAsia="ja-JP"/>
              </w:rPr>
              <m:t>=</m:t>
            </m:r>
          </m:e>
        </m:nary>
      </m:oMath>
      <w:r w:rsidR="002E4C6C" w:rsidRPr="00F02DA5">
        <w:rPr>
          <w:rFonts w:ascii="Bookman Old Style" w:eastAsia="MS Mincho" w:hAnsi="Bookman Old Style"/>
          <w:sz w:val="22"/>
          <w:szCs w:val="22"/>
          <w:lang w:eastAsia="ja-JP"/>
        </w:rPr>
        <w:t xml:space="preserve"> shuma e ponderuar</w:t>
      </w:r>
    </w:p>
    <w:p w:rsidR="002E4C6C" w:rsidRPr="00F02DA5" w:rsidRDefault="004F065D" w:rsidP="002E4C6C">
      <w:pPr>
        <w:pStyle w:val="NoSpacing"/>
        <w:rPr>
          <w:rFonts w:ascii="Bookman Old Style" w:eastAsia="MS Mincho" w:hAnsi="Bookman Old Style"/>
          <w:sz w:val="22"/>
          <w:szCs w:val="22"/>
          <w:lang w:eastAsia="ja-JP"/>
        </w:rPr>
      </w:pPr>
      <m:oMath>
        <m:sSub>
          <m:sSubPr>
            <m:ctrlPr>
              <w:rPr>
                <w:rFonts w:ascii="Cambria Math" w:eastAsia="Calibri" w:hAnsi="Arial" w:cs="Arial"/>
                <w:i/>
                <w:sz w:val="48"/>
                <w:szCs w:val="48"/>
                <w:lang w:val="en-US" w:eastAsia="ja-JP"/>
              </w:rPr>
            </m:ctrlPr>
          </m:sSubPr>
          <m:e>
            <m:r>
              <w:rPr>
                <w:rFonts w:ascii="Cambria Math" w:eastAsia="Calibri" w:hAnsi="Cambria Math" w:cs="Arial"/>
                <w:sz w:val="48"/>
                <w:szCs w:val="48"/>
                <w:lang w:val="en-US" w:eastAsia="ja-JP"/>
              </w:rPr>
              <m:t>x</m:t>
            </m:r>
          </m:e>
          <m:sub>
            <m:r>
              <w:rPr>
                <w:rFonts w:ascii="Cambria Math" w:eastAsia="Calibri" w:hAnsi="Arial" w:cs="Arial"/>
                <w:sz w:val="48"/>
                <w:szCs w:val="48"/>
                <w:lang w:val="en-US" w:eastAsia="ja-JP"/>
              </w:rPr>
              <m:t>1</m:t>
            </m:r>
          </m:sub>
        </m:sSub>
      </m:oMath>
      <w:r w:rsidR="002E4C6C" w:rsidRPr="00F02DA5">
        <w:rPr>
          <w:rFonts w:ascii="Bookman Old Style" w:eastAsia="MS Mincho" w:hAnsi="Bookman Old Style"/>
          <w:sz w:val="22"/>
          <w:szCs w:val="22"/>
          <w:lang w:eastAsia="ja-JP"/>
        </w:rPr>
        <w:t>= shuma e pikëve te provimit të lëndëve të Grupit I</w:t>
      </w:r>
    </w:p>
    <w:p w:rsidR="002E4C6C" w:rsidRPr="00F02DA5" w:rsidRDefault="004F065D" w:rsidP="002E4C6C">
      <w:pPr>
        <w:pStyle w:val="NoSpacing"/>
        <w:rPr>
          <w:rFonts w:ascii="Bookman Old Style" w:eastAsia="MS Mincho" w:hAnsi="Bookman Old Style"/>
          <w:sz w:val="22"/>
          <w:szCs w:val="22"/>
          <w:lang w:eastAsia="ja-JP"/>
        </w:rPr>
      </w:pPr>
      <m:oMath>
        <m:sSub>
          <m:sSubPr>
            <m:ctrlPr>
              <w:rPr>
                <w:rFonts w:ascii="Cambria Math" w:eastAsia="Calibri" w:hAnsi="Arial" w:cs="Arial"/>
                <w:i/>
                <w:sz w:val="52"/>
                <w:szCs w:val="52"/>
                <w:lang w:val="en-US"/>
              </w:rPr>
            </m:ctrlPr>
          </m:sSubPr>
          <m:e>
            <m:r>
              <w:rPr>
                <w:rFonts w:ascii="Cambria Math" w:eastAsia="Calibri" w:hAnsi="Cambria Math" w:cs="Arial"/>
                <w:sz w:val="52"/>
                <w:szCs w:val="52"/>
                <w:lang w:val="en-US"/>
              </w:rPr>
              <m:t>x</m:t>
            </m:r>
          </m:e>
          <m:sub>
            <m:r>
              <w:rPr>
                <w:rFonts w:ascii="Cambria Math" w:eastAsia="Calibri" w:hAnsi="Arial" w:cs="Arial"/>
                <w:sz w:val="52"/>
                <w:szCs w:val="52"/>
                <w:lang w:val="en-US"/>
              </w:rPr>
              <m:t>2</m:t>
            </m:r>
          </m:sub>
        </m:sSub>
      </m:oMath>
      <w:r w:rsidR="002E4C6C" w:rsidRPr="00F02DA5">
        <w:rPr>
          <w:rFonts w:ascii="Bookman Old Style" w:eastAsia="MS Mincho" w:hAnsi="Bookman Old Style"/>
          <w:sz w:val="22"/>
          <w:szCs w:val="22"/>
          <w:lang w:eastAsia="ja-JP"/>
        </w:rPr>
        <w:t>= shuma e pikëve të provimit të Grupit II</w:t>
      </w:r>
    </w:p>
    <w:p w:rsidR="002E4C6C" w:rsidRPr="00F02DA5" w:rsidRDefault="004F065D" w:rsidP="002E4C6C">
      <w:pPr>
        <w:pStyle w:val="NoSpacing"/>
        <w:rPr>
          <w:rFonts w:ascii="Bookman Old Style" w:eastAsia="MS Mincho" w:hAnsi="Bookman Old Style"/>
          <w:sz w:val="22"/>
          <w:szCs w:val="22"/>
          <w:lang w:eastAsia="en-GB"/>
        </w:rPr>
      </w:pPr>
      <m:oMath>
        <m:sSub>
          <m:sSubPr>
            <m:ctrlPr>
              <w:rPr>
                <w:rFonts w:ascii="Cambria Math" w:eastAsia="Calibri" w:hAnsi="Arial" w:cs="Arial"/>
                <w:i/>
                <w:sz w:val="52"/>
                <w:szCs w:val="52"/>
                <w:lang w:val="en-US"/>
              </w:rPr>
            </m:ctrlPr>
          </m:sSubPr>
          <m:e>
            <m:r>
              <w:rPr>
                <w:rFonts w:ascii="Cambria Math" w:eastAsia="Calibri" w:hAnsi="Cambria Math" w:cs="Arial"/>
                <w:sz w:val="52"/>
                <w:szCs w:val="52"/>
                <w:lang w:val="en-US"/>
              </w:rPr>
              <m:t>x</m:t>
            </m:r>
          </m:e>
          <m:sub>
            <m:r>
              <w:rPr>
                <w:rFonts w:ascii="Cambria Math" w:eastAsia="Calibri" w:hAnsi="Arial" w:cs="Arial"/>
                <w:sz w:val="52"/>
                <w:szCs w:val="52"/>
                <w:lang w:val="en-US"/>
              </w:rPr>
              <m:t>3</m:t>
            </m:r>
          </m:sub>
        </m:sSub>
      </m:oMath>
      <w:r w:rsidR="002E4C6C" w:rsidRPr="00F02DA5">
        <w:rPr>
          <w:rFonts w:ascii="Bookman Old Style" w:eastAsia="MS Mincho" w:hAnsi="Bookman Old Style"/>
          <w:sz w:val="22"/>
          <w:szCs w:val="22"/>
          <w:lang w:eastAsia="en-GB"/>
        </w:rPr>
        <w:t xml:space="preserve"> =Vlerësimi i temës</w:t>
      </w:r>
    </w:p>
    <w:p w:rsidR="002E4C6C" w:rsidRPr="00F02DA5" w:rsidRDefault="004F065D" w:rsidP="002E4C6C">
      <w:pPr>
        <w:pStyle w:val="NoSpacing"/>
        <w:rPr>
          <w:rFonts w:ascii="Bookman Old Style" w:eastAsia="MS Mincho" w:hAnsi="Bookman Old Style"/>
          <w:sz w:val="22"/>
          <w:szCs w:val="22"/>
          <w:lang w:eastAsia="en-GB"/>
        </w:rPr>
      </w:pPr>
      <m:oMath>
        <m:sSub>
          <m:sSubPr>
            <m:ctrlPr>
              <w:rPr>
                <w:rFonts w:ascii="Cambria Math" w:eastAsia="Calibri" w:hAnsi="Arial" w:cs="Arial"/>
                <w:i/>
                <w:sz w:val="52"/>
                <w:szCs w:val="52"/>
                <w:lang w:val="en-US"/>
              </w:rPr>
            </m:ctrlPr>
          </m:sSubPr>
          <m:e>
            <m:r>
              <w:rPr>
                <w:rFonts w:ascii="Cambria Math" w:eastAsia="Calibri" w:hAnsi="Cambria Math" w:cs="Arial"/>
                <w:sz w:val="52"/>
                <w:szCs w:val="52"/>
                <w:lang w:val="en-US"/>
              </w:rPr>
              <m:t>x</m:t>
            </m:r>
          </m:e>
          <m:sub>
            <m:r>
              <w:rPr>
                <w:rFonts w:ascii="Cambria Math" w:eastAsia="Calibri" w:hAnsi="Arial" w:cs="Arial"/>
                <w:sz w:val="52"/>
                <w:szCs w:val="52"/>
                <w:lang w:val="en-US"/>
              </w:rPr>
              <m:t>4</m:t>
            </m:r>
          </m:sub>
        </m:sSub>
      </m:oMath>
      <w:r w:rsidR="002E4C6C" w:rsidRPr="00F02DA5">
        <w:rPr>
          <w:rFonts w:ascii="Bookman Old Style" w:eastAsia="MS Mincho" w:hAnsi="Bookman Old Style"/>
          <w:sz w:val="22"/>
          <w:szCs w:val="22"/>
          <w:lang w:eastAsia="en-GB"/>
        </w:rPr>
        <w:t xml:space="preserve"> =Vlerësim i praktikës</w:t>
      </w:r>
    </w:p>
    <w:p w:rsidR="002E4C6C" w:rsidRPr="00F02DA5" w:rsidRDefault="004F065D" w:rsidP="002E4C6C">
      <w:pPr>
        <w:pStyle w:val="NoSpacing"/>
        <w:rPr>
          <w:rFonts w:ascii="Bookman Old Style" w:eastAsia="MS Mincho" w:hAnsi="Bookman Old Style"/>
          <w:sz w:val="22"/>
          <w:szCs w:val="22"/>
          <w:lang w:eastAsia="en-GB"/>
        </w:rPr>
      </w:pPr>
      <m:oMath>
        <m:sSub>
          <m:sSubPr>
            <m:ctrlPr>
              <w:rPr>
                <w:rFonts w:ascii="Cambria Math" w:eastAsia="Calibri" w:hAnsi="Arial" w:cs="Arial"/>
                <w:i/>
                <w:sz w:val="52"/>
                <w:szCs w:val="52"/>
                <w:lang w:val="en-US"/>
              </w:rPr>
            </m:ctrlPr>
          </m:sSubPr>
          <m:e>
            <m:r>
              <w:rPr>
                <w:rFonts w:ascii="Cambria Math" w:eastAsia="Calibri" w:hAnsi="Cambria Math" w:cs="Arial"/>
                <w:sz w:val="52"/>
                <w:szCs w:val="52"/>
                <w:lang w:val="en-US"/>
              </w:rPr>
              <m:t>x</m:t>
            </m:r>
          </m:e>
          <m:sub>
            <m:r>
              <w:rPr>
                <w:rFonts w:ascii="Cambria Math" w:eastAsia="Calibri" w:hAnsi="Arial" w:cs="Arial"/>
                <w:sz w:val="52"/>
                <w:szCs w:val="52"/>
                <w:lang w:val="en-US"/>
              </w:rPr>
              <m:t>5</m:t>
            </m:r>
          </m:sub>
        </m:sSub>
      </m:oMath>
      <w:r w:rsidR="002E4C6C" w:rsidRPr="00F02DA5">
        <w:rPr>
          <w:rFonts w:ascii="Bookman Old Style" w:eastAsia="MS Mincho" w:hAnsi="Bookman Old Style"/>
          <w:sz w:val="22"/>
          <w:szCs w:val="22"/>
          <w:lang w:eastAsia="en-GB"/>
        </w:rPr>
        <w:t>= Vlerësimi I Vitit të III</w:t>
      </w:r>
    </w:p>
    <w:p w:rsidR="002E4C6C" w:rsidRPr="00F02DA5" w:rsidRDefault="004F065D" w:rsidP="002E4C6C">
      <w:pPr>
        <w:pStyle w:val="NoSpacing"/>
        <w:rPr>
          <w:rFonts w:ascii="Bookman Old Style" w:hAnsi="Bookman Old Style"/>
          <w:sz w:val="22"/>
          <w:szCs w:val="22"/>
          <w:lang w:eastAsia="ja-JP"/>
        </w:rPr>
      </w:pPr>
      <m:oMath>
        <m:sSub>
          <m:sSubPr>
            <m:ctrlPr>
              <w:rPr>
                <w:rFonts w:ascii="Cambria Math" w:eastAsia="Calibri" w:hAnsi="Arial" w:cs="Arial"/>
                <w:i/>
                <w:sz w:val="48"/>
                <w:szCs w:val="48"/>
                <w:lang w:val="en-US"/>
              </w:rPr>
            </m:ctrlPr>
          </m:sSubPr>
          <m:e>
            <m:r>
              <w:rPr>
                <w:rFonts w:ascii="Cambria Math" w:eastAsia="Calibri" w:hAnsi="Cambria Math" w:cs="Arial"/>
                <w:sz w:val="48"/>
                <w:szCs w:val="48"/>
                <w:lang w:val="en-US"/>
              </w:rPr>
              <m:t>f</m:t>
            </m:r>
          </m:e>
          <m:sub>
            <m:r>
              <w:rPr>
                <w:rFonts w:ascii="Cambria Math" w:eastAsia="Calibri" w:hAnsi="Arial" w:cs="Arial"/>
                <w:sz w:val="48"/>
                <w:szCs w:val="48"/>
                <w:lang w:val="en-US"/>
              </w:rPr>
              <m:t>1</m:t>
            </m:r>
          </m:sub>
        </m:sSub>
      </m:oMath>
      <w:r w:rsidR="002E4C6C" w:rsidRPr="00F02DA5">
        <w:rPr>
          <w:rFonts w:ascii="Bookman Old Style" w:hAnsi="Bookman Old Style"/>
          <w:sz w:val="22"/>
          <w:szCs w:val="22"/>
          <w:lang w:eastAsia="en-GB"/>
        </w:rPr>
        <w:t>= koefi</w:t>
      </w:r>
      <w:r w:rsidR="002E4C6C" w:rsidRPr="00F02DA5">
        <w:rPr>
          <w:rFonts w:ascii="Bookman Old Style" w:hAnsi="Bookman Old Style"/>
          <w:sz w:val="22"/>
          <w:szCs w:val="22"/>
          <w:lang w:eastAsia="ja-JP"/>
        </w:rPr>
        <w:t xml:space="preserve">çienti i vështirësisë të Grupit I = 1.5 </w:t>
      </w:r>
    </w:p>
    <w:p w:rsidR="002E4C6C" w:rsidRPr="00F02DA5" w:rsidRDefault="004F065D" w:rsidP="002E4C6C">
      <w:pPr>
        <w:pStyle w:val="NoSpacing"/>
        <w:rPr>
          <w:rFonts w:ascii="Bookman Old Style" w:hAnsi="Bookman Old Style"/>
          <w:sz w:val="22"/>
          <w:szCs w:val="22"/>
          <w:lang w:eastAsia="ja-JP"/>
        </w:rPr>
      </w:pPr>
      <m:oMath>
        <m:sSub>
          <m:sSubPr>
            <m:ctrlPr>
              <w:rPr>
                <w:rFonts w:ascii="Cambria Math" w:eastAsia="Calibri" w:hAnsi="Arial" w:cs="Arial"/>
                <w:i/>
                <w:sz w:val="48"/>
                <w:szCs w:val="48"/>
                <w:lang w:val="en-US"/>
              </w:rPr>
            </m:ctrlPr>
          </m:sSubPr>
          <m:e>
            <m:r>
              <w:rPr>
                <w:rFonts w:ascii="Cambria Math" w:eastAsia="Calibri" w:hAnsi="Cambria Math" w:cs="Arial"/>
                <w:sz w:val="48"/>
                <w:szCs w:val="48"/>
                <w:lang w:val="en-US"/>
              </w:rPr>
              <m:t>f</m:t>
            </m:r>
          </m:e>
          <m:sub>
            <m:r>
              <w:rPr>
                <w:rFonts w:ascii="Cambria Math" w:eastAsia="Calibri" w:hAnsi="Arial" w:cs="Arial"/>
                <w:sz w:val="48"/>
                <w:szCs w:val="48"/>
                <w:lang w:val="en-US"/>
              </w:rPr>
              <m:t>2</m:t>
            </m:r>
          </m:sub>
        </m:sSub>
      </m:oMath>
      <w:r w:rsidR="002E4C6C" w:rsidRPr="00F02DA5">
        <w:rPr>
          <w:rFonts w:ascii="Bookman Old Style" w:hAnsi="Bookman Old Style"/>
          <w:sz w:val="22"/>
          <w:szCs w:val="22"/>
          <w:lang w:eastAsia="en-GB"/>
        </w:rPr>
        <w:t>= koefi</w:t>
      </w:r>
      <w:r w:rsidR="002E4C6C" w:rsidRPr="00F02DA5">
        <w:rPr>
          <w:rFonts w:ascii="Bookman Old Style" w:hAnsi="Bookman Old Style"/>
          <w:sz w:val="22"/>
          <w:szCs w:val="22"/>
          <w:lang w:eastAsia="ja-JP"/>
        </w:rPr>
        <w:t>çienti i vështirësisë të Grupit II = 1</w:t>
      </w:r>
    </w:p>
    <w:p w:rsidR="002E4C6C" w:rsidRPr="00F02DA5" w:rsidRDefault="002E4C6C" w:rsidP="002E4C6C">
      <w:pPr>
        <w:rPr>
          <w:rFonts w:ascii="Bookman Old Style" w:hAnsi="Bookman Old Style"/>
          <w:b/>
          <w:bCs/>
        </w:rPr>
      </w:pPr>
    </w:p>
    <w:p w:rsidR="002E4C6C" w:rsidRPr="00F02DA5" w:rsidRDefault="002E4C6C" w:rsidP="002E4C6C">
      <w:pPr>
        <w:rPr>
          <w:rFonts w:ascii="Bookman Old Style" w:hAnsi="Bookman Old Style"/>
        </w:rPr>
      </w:pPr>
      <w:r w:rsidRPr="00F02DA5">
        <w:rPr>
          <w:rFonts w:ascii="Bookman Old Style" w:hAnsi="Bookman Old Style"/>
          <w:b/>
          <w:bCs/>
        </w:rPr>
        <w:t xml:space="preserve">Klasifikimi i kandidatëve për magjistratë </w:t>
      </w:r>
      <w:r w:rsidRPr="00F02DA5">
        <w:rPr>
          <w:rFonts w:ascii="Bookman Old Style" w:hAnsi="Bookman Old Style"/>
          <w:bCs/>
        </w:rPr>
        <w:t>bëhet dhe firmoset nga Këshilli Pedagogjik.</w:t>
      </w:r>
    </w:p>
    <w:p w:rsidR="002E4C6C" w:rsidRPr="00F02DA5" w:rsidRDefault="002E4C6C" w:rsidP="002E4C6C">
      <w:pPr>
        <w:rPr>
          <w:rFonts w:ascii="Bookman Old Style" w:hAnsi="Bookman Old Style"/>
          <w:b/>
          <w:color w:val="632423"/>
        </w:rPr>
      </w:pPr>
    </w:p>
    <w:p w:rsidR="002E4C6C" w:rsidRPr="00F02DA5" w:rsidRDefault="002E4C6C" w:rsidP="002E4C6C">
      <w:pPr>
        <w:rPr>
          <w:rFonts w:ascii="Bookman Old Style" w:hAnsi="Bookman Old Style"/>
          <w:b/>
          <w:color w:val="632423"/>
        </w:rPr>
      </w:pPr>
    </w:p>
    <w:p w:rsidR="00C12D0B" w:rsidRDefault="00C12D0B" w:rsidP="002E4C6C">
      <w:pPr>
        <w:rPr>
          <w:rFonts w:ascii="Times New Roman" w:hAnsi="Times New Roman" w:cs="Times New Roman"/>
          <w:sz w:val="24"/>
          <w:szCs w:val="24"/>
        </w:rPr>
      </w:pPr>
    </w:p>
    <w:p w:rsidR="00A03A7C" w:rsidRDefault="00A03A7C" w:rsidP="002E4C6C">
      <w:pPr>
        <w:rPr>
          <w:rFonts w:ascii="Times New Roman" w:hAnsi="Times New Roman" w:cs="Times New Roman"/>
          <w:sz w:val="24"/>
          <w:szCs w:val="24"/>
        </w:rPr>
      </w:pPr>
    </w:p>
    <w:p w:rsidR="00A03A7C" w:rsidRDefault="00A03A7C" w:rsidP="002E4C6C">
      <w:pPr>
        <w:rPr>
          <w:rFonts w:ascii="Times New Roman" w:hAnsi="Times New Roman" w:cs="Times New Roman"/>
          <w:sz w:val="24"/>
          <w:szCs w:val="24"/>
        </w:rPr>
      </w:pPr>
    </w:p>
    <w:p w:rsidR="00A03A7C" w:rsidRDefault="00A03A7C" w:rsidP="002E4C6C">
      <w:pPr>
        <w:rPr>
          <w:rFonts w:ascii="Times New Roman" w:hAnsi="Times New Roman" w:cs="Times New Roman"/>
          <w:sz w:val="24"/>
          <w:szCs w:val="24"/>
        </w:rPr>
      </w:pPr>
    </w:p>
    <w:p w:rsidR="00A03A7C" w:rsidRDefault="00A03A7C" w:rsidP="002E4C6C">
      <w:pPr>
        <w:rPr>
          <w:rFonts w:ascii="Times New Roman" w:hAnsi="Times New Roman" w:cs="Times New Roman"/>
          <w:sz w:val="24"/>
          <w:szCs w:val="24"/>
        </w:rPr>
      </w:pPr>
    </w:p>
    <w:p w:rsidR="00A03A7C" w:rsidRDefault="00A03A7C" w:rsidP="002E4C6C">
      <w:pPr>
        <w:rPr>
          <w:rFonts w:ascii="Times New Roman" w:hAnsi="Times New Roman" w:cs="Times New Roman"/>
          <w:sz w:val="24"/>
          <w:szCs w:val="24"/>
        </w:rPr>
      </w:pPr>
    </w:p>
    <w:p w:rsidR="00A03A7C" w:rsidRDefault="00A03A7C" w:rsidP="002E4C6C">
      <w:pPr>
        <w:rPr>
          <w:rFonts w:ascii="Times New Roman" w:hAnsi="Times New Roman" w:cs="Times New Roman"/>
          <w:sz w:val="24"/>
          <w:szCs w:val="24"/>
        </w:rPr>
      </w:pPr>
    </w:p>
    <w:p w:rsidR="00D754B9" w:rsidRPr="009C5D9C" w:rsidRDefault="00A03A7C" w:rsidP="00D754B9">
      <w:pPr>
        <w:rPr>
          <w:rFonts w:ascii="Bookman Old Style" w:hAnsi="Bookman Old Style"/>
          <w:b/>
          <w:color w:val="533466" w:themeColor="accent6" w:themeShade="80"/>
          <w:sz w:val="32"/>
          <w:szCs w:val="32"/>
          <w:u w:color="333399"/>
        </w:rPr>
      </w:pPr>
      <w:r w:rsidRPr="00A03A7C">
        <w:rPr>
          <w:rFonts w:ascii="Bookman Old Style" w:hAnsi="Bookman Old Style"/>
          <w:b/>
          <w:color w:val="533466" w:themeColor="accent6" w:themeShade="80"/>
          <w:sz w:val="32"/>
          <w:szCs w:val="32"/>
          <w:u w:color="333399"/>
        </w:rPr>
        <w:t>ANEKS I</w:t>
      </w:r>
      <w:r w:rsidR="00D754B9" w:rsidRPr="00D754B9">
        <w:rPr>
          <w:rFonts w:ascii="Bookman Old Style" w:hAnsi="Bookman Old Style"/>
          <w:b/>
          <w:noProof/>
          <w:color w:val="632423"/>
          <w:sz w:val="32"/>
          <w:szCs w:val="36"/>
          <w:lang w:val="en-GB" w:eastAsia="en-GB"/>
        </w:rPr>
        <w:drawing>
          <wp:inline distT="0" distB="0" distL="0" distR="0">
            <wp:extent cx="6124575" cy="6729415"/>
            <wp:effectExtent l="323850" t="0" r="295275" b="0"/>
            <wp:docPr id="9" name="Picture 50" descr="Klasif, gj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lasif, gjyq"/>
                    <pic:cNvPicPr>
                      <a:picLocks noChangeAspect="1" noChangeArrowheads="1"/>
                    </pic:cNvPicPr>
                  </pic:nvPicPr>
                  <pic:blipFill>
                    <a:blip r:embed="rId16" cstate="print"/>
                    <a:srcRect b="4008"/>
                    <a:stretch>
                      <a:fillRect/>
                    </a:stretch>
                  </pic:blipFill>
                  <pic:spPr bwMode="auto">
                    <a:xfrm rot="16200000">
                      <a:off x="0" y="0"/>
                      <a:ext cx="6124575" cy="6729415"/>
                    </a:xfrm>
                    <a:prstGeom prst="rect">
                      <a:avLst/>
                    </a:prstGeom>
                    <a:noFill/>
                    <a:ln w="9525">
                      <a:noFill/>
                      <a:miter lim="800000"/>
                      <a:headEnd/>
                      <a:tailEnd/>
                    </a:ln>
                  </pic:spPr>
                </pic:pic>
              </a:graphicData>
            </a:graphic>
          </wp:inline>
        </w:drawing>
      </w:r>
    </w:p>
    <w:p w:rsidR="00A03A7C" w:rsidRDefault="00D754B9" w:rsidP="002E4C6C">
      <w:pPr>
        <w:rPr>
          <w:rFonts w:ascii="Times New Roman" w:hAnsi="Times New Roman" w:cs="Times New Roman"/>
          <w:sz w:val="24"/>
          <w:szCs w:val="24"/>
        </w:rPr>
      </w:pPr>
      <w:r>
        <w:rPr>
          <w:rFonts w:ascii="Bookman Old Style" w:hAnsi="Bookman Old Style"/>
          <w:b/>
          <w:noProof/>
          <w:color w:val="632423"/>
          <w:sz w:val="32"/>
          <w:szCs w:val="36"/>
          <w:lang w:val="en-GB" w:eastAsia="en-GB"/>
        </w:rPr>
        <w:lastRenderedPageBreak/>
        <w:drawing>
          <wp:inline distT="0" distB="0" distL="0" distR="0">
            <wp:extent cx="5543550" cy="6810375"/>
            <wp:effectExtent l="647700" t="0" r="628650" b="0"/>
            <wp:docPr id="53" name="Picture 53" descr="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las"/>
                    <pic:cNvPicPr>
                      <a:picLocks noChangeAspect="1" noChangeArrowheads="1"/>
                    </pic:cNvPicPr>
                  </pic:nvPicPr>
                  <pic:blipFill>
                    <a:blip r:embed="rId17" cstate="print"/>
                    <a:srcRect/>
                    <a:stretch>
                      <a:fillRect/>
                    </a:stretch>
                  </pic:blipFill>
                  <pic:spPr bwMode="auto">
                    <a:xfrm rot="16200000">
                      <a:off x="0" y="0"/>
                      <a:ext cx="5543550" cy="6810375"/>
                    </a:xfrm>
                    <a:prstGeom prst="rect">
                      <a:avLst/>
                    </a:prstGeom>
                    <a:noFill/>
                    <a:ln w="9525">
                      <a:noFill/>
                      <a:miter lim="800000"/>
                      <a:headEnd/>
                      <a:tailEnd/>
                    </a:ln>
                  </pic:spPr>
                </pic:pic>
              </a:graphicData>
            </a:graphic>
          </wp:inline>
        </w:drawing>
      </w:r>
    </w:p>
    <w:p w:rsidR="00D754B9" w:rsidRDefault="00D754B9" w:rsidP="002E4C6C">
      <w:pPr>
        <w:rPr>
          <w:rFonts w:ascii="Times New Roman" w:hAnsi="Times New Roman" w:cs="Times New Roman"/>
          <w:sz w:val="24"/>
          <w:szCs w:val="24"/>
        </w:rPr>
      </w:pPr>
    </w:p>
    <w:p w:rsidR="00D754B9" w:rsidRDefault="00D754B9" w:rsidP="002E4C6C">
      <w:pPr>
        <w:rPr>
          <w:rFonts w:ascii="Times New Roman" w:hAnsi="Times New Roman" w:cs="Times New Roman"/>
          <w:sz w:val="24"/>
          <w:szCs w:val="24"/>
        </w:rPr>
      </w:pPr>
    </w:p>
    <w:p w:rsidR="00D754B9" w:rsidRDefault="00D754B9" w:rsidP="002E4C6C">
      <w:pPr>
        <w:rPr>
          <w:rFonts w:ascii="Times New Roman" w:hAnsi="Times New Roman" w:cs="Times New Roman"/>
          <w:sz w:val="24"/>
          <w:szCs w:val="24"/>
        </w:rPr>
      </w:pPr>
    </w:p>
    <w:p w:rsidR="00251B7E" w:rsidRDefault="00251B7E" w:rsidP="00251B7E">
      <w:pPr>
        <w:spacing w:after="0" w:line="240" w:lineRule="auto"/>
        <w:jc w:val="both"/>
        <w:rPr>
          <w:rFonts w:ascii="Times New Roman" w:hAnsi="Times New Roman" w:cs="Times New Roman"/>
          <w:sz w:val="24"/>
          <w:szCs w:val="24"/>
        </w:rPr>
      </w:pPr>
    </w:p>
    <w:p w:rsidR="00D754B9" w:rsidRPr="00CA7CDB" w:rsidRDefault="00D754B9" w:rsidP="002E4C6C">
      <w:pPr>
        <w:rPr>
          <w:rFonts w:ascii="Bookman Old Style" w:hAnsi="Bookman Old Style"/>
          <w:b/>
          <w:color w:val="533466" w:themeColor="accent6" w:themeShade="80"/>
          <w:sz w:val="32"/>
          <w:szCs w:val="32"/>
          <w:u w:color="333399"/>
        </w:rPr>
      </w:pPr>
      <w:r>
        <w:rPr>
          <w:rFonts w:ascii="Bookman Old Style" w:hAnsi="Bookman Old Style"/>
          <w:b/>
          <w:color w:val="533466" w:themeColor="accent6" w:themeShade="80"/>
          <w:sz w:val="32"/>
          <w:szCs w:val="32"/>
          <w:u w:color="333399"/>
        </w:rPr>
        <w:lastRenderedPageBreak/>
        <w:t>2</w:t>
      </w:r>
      <w:r w:rsidR="00CA7CDB">
        <w:rPr>
          <w:rFonts w:ascii="Bookman Old Style" w:hAnsi="Bookman Old Style"/>
          <w:b/>
          <w:color w:val="533466" w:themeColor="accent6" w:themeShade="80"/>
          <w:sz w:val="32"/>
          <w:szCs w:val="32"/>
          <w:u w:color="333399"/>
        </w:rPr>
        <w:t>. FORMIMI VAZHDUES</w:t>
      </w:r>
    </w:p>
    <w:p w:rsidR="00CA7CDB" w:rsidRPr="00D65DAB" w:rsidRDefault="00CA7CDB" w:rsidP="00D65DAB">
      <w:pPr>
        <w:jc w:val="both"/>
        <w:rPr>
          <w:rFonts w:ascii="Bookman Old Style" w:hAnsi="Bookman Old Style"/>
          <w:b/>
          <w:bCs/>
          <w:color w:val="372971" w:themeColor="accent5" w:themeShade="80"/>
          <w:sz w:val="24"/>
          <w:szCs w:val="24"/>
        </w:rPr>
      </w:pPr>
      <w:bookmarkStart w:id="10" w:name="OLE_LINK21"/>
      <w:bookmarkStart w:id="11" w:name="OLE_LINK22"/>
      <w:r w:rsidRPr="00D65DAB">
        <w:rPr>
          <w:rFonts w:ascii="Bookman Old Style" w:hAnsi="Bookman Old Style"/>
          <w:b/>
          <w:bCs/>
          <w:color w:val="372971" w:themeColor="accent5" w:themeShade="80"/>
          <w:sz w:val="24"/>
          <w:szCs w:val="24"/>
        </w:rPr>
        <w:t>2.1. Realizimi i Programit të Formimit Vazhdues për vitin akademik -2015-2016.</w:t>
      </w:r>
    </w:p>
    <w:bookmarkEnd w:id="10"/>
    <w:bookmarkEnd w:id="11"/>
    <w:p w:rsidR="00CA7CDB" w:rsidRPr="00EA76BB" w:rsidRDefault="00CA7CDB" w:rsidP="00CA7CDB">
      <w:pPr>
        <w:jc w:val="both"/>
        <w:outlineLvl w:val="0"/>
        <w:rPr>
          <w:rFonts w:ascii="Bookman Old Style" w:hAnsi="Bookman Old Style" w:cs="Calibri"/>
          <w:b/>
          <w:i/>
        </w:rPr>
      </w:pPr>
      <w:r w:rsidRPr="00EA76BB">
        <w:rPr>
          <w:rFonts w:ascii="Bookman Old Style" w:hAnsi="Bookman Old Style" w:cs="Calibri"/>
          <w:b/>
        </w:rPr>
        <w:t>Baza ligjore:</w:t>
      </w:r>
    </w:p>
    <w:p w:rsidR="00CA7CDB" w:rsidRDefault="00CA7CDB" w:rsidP="00CA7CDB">
      <w:pPr>
        <w:spacing w:after="0" w:line="240" w:lineRule="auto"/>
        <w:jc w:val="both"/>
        <w:rPr>
          <w:i/>
          <w:sz w:val="20"/>
          <w:szCs w:val="20"/>
        </w:rPr>
      </w:pPr>
      <w:r w:rsidRPr="00EA76BB">
        <w:rPr>
          <w:rFonts w:ascii="Bookman Old Style" w:eastAsia="Times New Roman" w:hAnsi="Bookman Old Style" w:cs="Calibri"/>
          <w:color w:val="000000"/>
          <w:lang w:eastAsia="en-GB"/>
        </w:rPr>
        <w:t>Baza ligjore kryesore në fuqi lidhur me formimin vazhdues [FV] është Ligji Nr. 8136, datë 31.7.1996 “Për Shkollën e Magjistraturës në Republikën e Shqipërisë” indryshuar</w:t>
      </w:r>
      <w:r>
        <w:rPr>
          <w:i/>
          <w:sz w:val="20"/>
          <w:szCs w:val="20"/>
        </w:rPr>
        <w:t>( ligji</w:t>
      </w:r>
      <w:r w:rsidRPr="0053387A">
        <w:rPr>
          <w:i/>
          <w:sz w:val="20"/>
          <w:szCs w:val="20"/>
        </w:rPr>
        <w:t xml:space="preserve"> nr. 9414, datë 20.5.2005</w:t>
      </w:r>
      <w:r>
        <w:rPr>
          <w:i/>
          <w:sz w:val="20"/>
          <w:szCs w:val="20"/>
        </w:rPr>
        <w:t xml:space="preserve"> dhe ligji</w:t>
      </w:r>
      <w:r w:rsidRPr="0053387A">
        <w:rPr>
          <w:i/>
          <w:sz w:val="20"/>
          <w:szCs w:val="20"/>
        </w:rPr>
        <w:t xml:space="preserve"> nr.</w:t>
      </w:r>
      <w:r>
        <w:rPr>
          <w:i/>
          <w:sz w:val="20"/>
          <w:szCs w:val="20"/>
        </w:rPr>
        <w:t>97/2014</w:t>
      </w:r>
      <w:r w:rsidRPr="0053387A">
        <w:rPr>
          <w:i/>
          <w:sz w:val="20"/>
          <w:szCs w:val="20"/>
        </w:rPr>
        <w:t>)</w:t>
      </w:r>
      <w:r w:rsidRPr="00EA76BB">
        <w:rPr>
          <w:rFonts w:ascii="Bookman Old Style" w:eastAsia="Times New Roman" w:hAnsi="Bookman Old Style" w:cs="Calibri"/>
          <w:color w:val="000000"/>
          <w:lang w:eastAsia="en-GB"/>
        </w:rPr>
        <w:t>. Ndryshimet ligjore</w:t>
      </w:r>
      <w:r>
        <w:rPr>
          <w:rFonts w:ascii="Bookman Old Style" w:eastAsia="Times New Roman" w:hAnsi="Bookman Old Style" w:cs="Calibri"/>
          <w:color w:val="000000"/>
          <w:lang w:eastAsia="en-GB"/>
        </w:rPr>
        <w:t xml:space="preserve"> në vitin 2014</w:t>
      </w:r>
      <w:r w:rsidRPr="00EA76BB">
        <w:rPr>
          <w:rFonts w:ascii="Bookman Old Style" w:eastAsia="Times New Roman" w:hAnsi="Bookman Old Style" w:cs="Calibri"/>
          <w:color w:val="000000"/>
          <w:lang w:eastAsia="en-GB"/>
        </w:rPr>
        <w:t xml:space="preserve"> kanë sjellë </w:t>
      </w:r>
      <w:r>
        <w:rPr>
          <w:rFonts w:ascii="Bookman Old Style" w:eastAsia="Times New Roman" w:hAnsi="Bookman Old Style" w:cs="Calibri"/>
          <w:color w:val="000000"/>
          <w:lang w:eastAsia="en-GB"/>
        </w:rPr>
        <w:t>pak</w:t>
      </w:r>
      <w:r w:rsidRPr="00EA76BB">
        <w:rPr>
          <w:rFonts w:ascii="Bookman Old Style" w:eastAsia="Times New Roman" w:hAnsi="Bookman Old Style" w:cs="Calibri"/>
          <w:color w:val="000000"/>
          <w:lang w:eastAsia="en-GB"/>
        </w:rPr>
        <w:t xml:space="preserve"> ndryshim</w:t>
      </w:r>
      <w:r>
        <w:rPr>
          <w:rFonts w:ascii="Bookman Old Style" w:eastAsia="Times New Roman" w:hAnsi="Bookman Old Style" w:cs="Calibri"/>
          <w:color w:val="000000"/>
          <w:lang w:eastAsia="en-GB"/>
        </w:rPr>
        <w:t>e</w:t>
      </w:r>
      <w:r w:rsidRPr="00EA76BB">
        <w:rPr>
          <w:rFonts w:ascii="Bookman Old Style" w:eastAsia="Times New Roman" w:hAnsi="Bookman Old Style" w:cs="Calibri"/>
          <w:color w:val="000000"/>
          <w:lang w:eastAsia="en-GB"/>
        </w:rPr>
        <w:t xml:space="preserve"> në komponentin e formimit vazhdues të gjyqtarëve e prokurorëve. </w:t>
      </w:r>
      <w:r>
        <w:rPr>
          <w:rFonts w:ascii="Bookman Old Style" w:eastAsia="Times New Roman" w:hAnsi="Bookman Old Style" w:cs="Calibri"/>
          <w:color w:val="000000"/>
          <w:lang w:eastAsia="en-GB"/>
        </w:rPr>
        <w:t>Kështu që m</w:t>
      </w:r>
      <w:r w:rsidRPr="00EA76BB">
        <w:rPr>
          <w:rFonts w:ascii="Bookman Old Style" w:eastAsia="Times New Roman" w:hAnsi="Bookman Old Style" w:cs="Calibri"/>
          <w:color w:val="000000"/>
          <w:lang w:eastAsia="en-GB"/>
        </w:rPr>
        <w:t>betemi përgjithësisht në të njëjtat rregulla lidhur me formimin vazhdues</w:t>
      </w:r>
      <w:r>
        <w:rPr>
          <w:rFonts w:ascii="Bookman Old Style" w:eastAsia="Times New Roman" w:hAnsi="Bookman Old Style" w:cs="Calibri"/>
          <w:color w:val="000000"/>
          <w:lang w:eastAsia="en-GB"/>
        </w:rPr>
        <w:t xml:space="preserve"> që përbën </w:t>
      </w:r>
      <w:r w:rsidRPr="00EA76BB">
        <w:rPr>
          <w:rFonts w:ascii="Bookman Old Style" w:eastAsia="Times New Roman" w:hAnsi="Bookman Old Style" w:cs="Calibri"/>
          <w:color w:val="000000"/>
          <w:lang w:eastAsia="en-GB"/>
        </w:rPr>
        <w:t xml:space="preserve">një prej veprimtarive më masive dhe më të rëndësishme të Shkollës së Magjistraturës. </w:t>
      </w:r>
      <w:r>
        <w:rPr>
          <w:rFonts w:ascii="Bookman Old Style" w:eastAsia="Times New Roman" w:hAnsi="Bookman Old Style" w:cs="Calibri"/>
          <w:color w:val="000000"/>
          <w:lang w:eastAsia="en-GB"/>
        </w:rPr>
        <w:t xml:space="preserve">Sikurse kemi cituar në raportet e mëparshme, </w:t>
      </w:r>
      <w:r w:rsidRPr="00EA76BB">
        <w:rPr>
          <w:rFonts w:ascii="Bookman Old Style" w:eastAsia="Times New Roman" w:hAnsi="Bookman Old Style" w:cs="Calibri"/>
          <w:color w:val="000000"/>
          <w:lang w:eastAsia="en-GB"/>
        </w:rPr>
        <w:t>neni 9/2</w:t>
      </w:r>
      <w:r>
        <w:rPr>
          <w:rFonts w:ascii="Bookman Old Style" w:eastAsia="Times New Roman" w:hAnsi="Bookman Old Style" w:cs="Calibri"/>
          <w:color w:val="000000"/>
          <w:lang w:eastAsia="en-GB"/>
        </w:rPr>
        <w:t xml:space="preserve"> i ligjt të SHM përfshin</w:t>
      </w:r>
      <w:r w:rsidRPr="00EA76BB">
        <w:rPr>
          <w:rFonts w:ascii="Bookman Old Style" w:eastAsia="Times New Roman" w:hAnsi="Bookman Old Style" w:cs="Calibri"/>
          <w:color w:val="000000"/>
          <w:lang w:eastAsia="en-GB"/>
        </w:rPr>
        <w:t xml:space="preserve"> një përfshirje më direkte e </w:t>
      </w:r>
      <w:r w:rsidRPr="00EA76BB">
        <w:rPr>
          <w:rFonts w:ascii="Bookman Old Style" w:eastAsia="Times New Roman" w:hAnsi="Bookman Old Style"/>
          <w:lang w:eastAsia="en-GB"/>
        </w:rPr>
        <w:t xml:space="preserve">Këshillit Pedagogjik në </w:t>
      </w:r>
      <w:r>
        <w:rPr>
          <w:rFonts w:ascii="Bookman Old Style" w:eastAsia="Times New Roman" w:hAnsi="Bookman Old Style"/>
          <w:lang w:eastAsia="en-GB"/>
        </w:rPr>
        <w:t xml:space="preserve">disa </w:t>
      </w:r>
      <w:r w:rsidRPr="00EA76BB">
        <w:rPr>
          <w:rFonts w:ascii="Bookman Old Style" w:eastAsia="Times New Roman" w:hAnsi="Bookman Old Style"/>
          <w:lang w:eastAsia="en-GB"/>
        </w:rPr>
        <w:t>aspekte të FV</w:t>
      </w:r>
      <w:r>
        <w:rPr>
          <w:rFonts w:ascii="Bookman Old Style" w:eastAsia="Times New Roman" w:hAnsi="Bookman Old Style"/>
          <w:lang w:eastAsia="en-GB"/>
        </w:rPr>
        <w:t>. Këto përfshijnë</w:t>
      </w:r>
      <w:r w:rsidRPr="00EA76BB">
        <w:rPr>
          <w:rFonts w:ascii="Bookman Old Style" w:eastAsia="Times New Roman" w:hAnsi="Bookman Old Style"/>
          <w:lang w:eastAsia="en-GB"/>
        </w:rPr>
        <w:t xml:space="preserve">: a) </w:t>
      </w:r>
      <w:r>
        <w:rPr>
          <w:rFonts w:ascii="Bookman Old Style" w:eastAsia="Times New Roman" w:hAnsi="Bookman Old Style"/>
          <w:lang w:eastAsia="en-GB"/>
        </w:rPr>
        <w:t xml:space="preserve">që </w:t>
      </w:r>
      <w:r w:rsidRPr="00EA76BB">
        <w:rPr>
          <w:rFonts w:ascii="Bookman Old Style" w:eastAsia="Times New Roman" w:hAnsi="Bookman Old Style"/>
          <w:lang w:eastAsia="en-GB"/>
        </w:rPr>
        <w:t xml:space="preserve">Këshillit Pedagogjik merr pjesë në përgatitjen e Programit të Formimit Vazhdues; b)Këshillit Pedagogjik jep mendim për hartimin e listës së trajnerëve të jashtëm dhe të brendshëm të shkollës, duke analizuar çdo propozim që drejtori </w:t>
      </w:r>
      <w:r>
        <w:rPr>
          <w:rFonts w:ascii="Bookman Old Style" w:eastAsia="Times New Roman" w:hAnsi="Bookman Old Style"/>
          <w:lang w:eastAsia="en-GB"/>
        </w:rPr>
        <w:t>i</w:t>
      </w:r>
      <w:r w:rsidRPr="00EA76BB">
        <w:rPr>
          <w:rFonts w:ascii="Bookman Old Style" w:eastAsia="Times New Roman" w:hAnsi="Bookman Old Style"/>
          <w:lang w:eastAsia="en-GB"/>
        </w:rPr>
        <w:t xml:space="preserve"> përcjell Këshillit Drejtues; c) Këshillit Pedagogjik analizon raportet e vlerësimit të punës së trajnerëve dhe i përcjell Këshillit Drejtues mendimin për vijimësinë e ushtrimit të detyrës prej tyre; etj.</w:t>
      </w:r>
    </w:p>
    <w:p w:rsidR="00CA7CDB" w:rsidRPr="00EA76BB" w:rsidRDefault="00CA7CDB" w:rsidP="00CA7CDB">
      <w:pPr>
        <w:autoSpaceDE w:val="0"/>
        <w:autoSpaceDN w:val="0"/>
        <w:adjustRightInd w:val="0"/>
        <w:spacing w:after="0" w:line="240" w:lineRule="auto"/>
        <w:jc w:val="both"/>
        <w:rPr>
          <w:rFonts w:ascii="Bookman Old Style" w:eastAsia="Times New Roman" w:hAnsi="Bookman Old Style"/>
          <w:lang w:eastAsia="en-GB"/>
        </w:rPr>
      </w:pPr>
    </w:p>
    <w:p w:rsidR="00CA7CDB" w:rsidRPr="00EA76BB" w:rsidRDefault="00CA7CDB" w:rsidP="00CA7CDB">
      <w:pPr>
        <w:autoSpaceDE w:val="0"/>
        <w:autoSpaceDN w:val="0"/>
        <w:adjustRightInd w:val="0"/>
        <w:spacing w:after="0" w:line="240" w:lineRule="auto"/>
        <w:jc w:val="both"/>
        <w:rPr>
          <w:rFonts w:ascii="Bookman Old Style" w:eastAsia="Times New Roman" w:hAnsi="Bookman Old Style"/>
          <w:lang w:eastAsia="en-GB"/>
        </w:rPr>
      </w:pPr>
      <w:r>
        <w:rPr>
          <w:rFonts w:ascii="Bookman Old Style" w:eastAsia="Times New Roman" w:hAnsi="Bookman Old Style"/>
          <w:lang w:eastAsia="en-GB"/>
        </w:rPr>
        <w:t xml:space="preserve">Në vëmëndje të këtij raporti, sjellim </w:t>
      </w:r>
      <w:r w:rsidRPr="00EA76BB">
        <w:rPr>
          <w:rFonts w:ascii="Bookman Old Style" w:eastAsia="Times New Roman" w:hAnsi="Bookman Old Style"/>
          <w:lang w:eastAsia="en-GB"/>
        </w:rPr>
        <w:t>neni</w:t>
      </w:r>
      <w:r>
        <w:rPr>
          <w:rFonts w:ascii="Bookman Old Style" w:eastAsia="Times New Roman" w:hAnsi="Bookman Old Style"/>
          <w:lang w:eastAsia="en-GB"/>
        </w:rPr>
        <w:t>n</w:t>
      </w:r>
      <w:r w:rsidRPr="00EA76BB">
        <w:rPr>
          <w:rFonts w:ascii="Bookman Old Style" w:eastAsia="Times New Roman" w:hAnsi="Bookman Old Style"/>
          <w:lang w:eastAsia="en-GB"/>
        </w:rPr>
        <w:t xml:space="preserve"> 23 të Ligjit </w:t>
      </w:r>
      <w:r>
        <w:rPr>
          <w:rFonts w:ascii="Bookman Old Style" w:eastAsia="Times New Roman" w:hAnsi="Bookman Old Style"/>
          <w:lang w:eastAsia="en-GB"/>
        </w:rPr>
        <w:t xml:space="preserve">në të cilin nënvizohet se: </w:t>
      </w:r>
      <w:r w:rsidRPr="00EA76BB">
        <w:rPr>
          <w:rFonts w:ascii="Bookman Old Style" w:eastAsia="Times New Roman" w:hAnsi="Bookman Old Style"/>
          <w:lang w:eastAsia="en-GB"/>
        </w:rPr>
        <w:t>“Programi i formimit vazhdues hartohet nga Drejtori i Shkollës në bashkëpunim me stafin e brendshëm pedagogjik pasi të jetë marrë, paraprakisht, mendimi i Kryetarit të Gjykatës së Lartë, Prokurorit të Përgjithshëm, Ministrisë së Drejtësisë, Këshillit të Lartë të Drejtësisë dhe Këshillit Pedagogjik të Shkollës. Programi i formimit vazhdues miratohet nga Këshilli Drejtues i Shkollës”.</w:t>
      </w:r>
      <w:r>
        <w:rPr>
          <w:rFonts w:ascii="Bookman Old Style" w:eastAsia="Times New Roman" w:hAnsi="Bookman Old Style"/>
          <w:lang w:eastAsia="en-GB"/>
        </w:rPr>
        <w:t xml:space="preserve"> Përmbajtja e kësaj dispozite ligjore është zbatuar me rigorozitet jo vetëm në procesin makro të vlerësimit tre vjecar por edhe në vlerësimin e nevojave të përvitshme.</w:t>
      </w:r>
    </w:p>
    <w:p w:rsidR="00CA7CDB" w:rsidRPr="00EA76BB" w:rsidRDefault="00CA7CDB" w:rsidP="00CA7CDB">
      <w:pPr>
        <w:autoSpaceDE w:val="0"/>
        <w:autoSpaceDN w:val="0"/>
        <w:adjustRightInd w:val="0"/>
        <w:spacing w:after="0" w:line="240" w:lineRule="auto"/>
        <w:jc w:val="both"/>
        <w:rPr>
          <w:rFonts w:ascii="Bookman Old Style" w:eastAsia="Times New Roman" w:hAnsi="Bookman Old Style"/>
          <w:color w:val="000099"/>
          <w:lang w:eastAsia="en-GB"/>
        </w:rPr>
      </w:pP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Kemi të njëjtat rregullime ligjore lidhur me numrin e ditëve që gjyqtari dhe prokurori mund/duhet të trajnohet në Shkollën e Magjistraturës brenda një viti akademik ose periudhës pesë vjeçare. Sipas nenit 23 të ligjit të sipërpërmendur, bëhet fjalë për klauzolën ligjore lidhur me formimin vazhdues me një kohëzgjatje prej “jo më shumë se 20 ditë në vit” dhe “jo më shumë se 60 ditë në 5 vjet”. Siç vihet re, vet legjislatori e ka parashikuar pjesëmarrjen e gjyqtarëve dhe prokurorëve në formimin vazhdues  si një të drejtë - detyrë. Kjo ka bërë që herë pas here të rikujtojmë gjyqtarët e prokurorët lidhur me përmbajtjen e kësaj dispozite dhe nga ana tjetër të koordinojmë me mirë me Këshillin e Lartë të Drejtësisë dhe Prokurorinë e Përgjithshme lidhur me listat e aplikuesve me qëllim që të përmbushet ky detyrim  i ligjit. Ndërkohë që sfida jonë e vazhdueshme ka qenë ofrimi i një programi formimi vazhdues sa më cilësor në të gjithë komponentët e tij të tillë si: tematika, ekspertiza, metodologjia, materialet didaktike etj.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Shkolla e Magjistraturës ka mbajtur në konsideratë sistemin e ri të vlerësimit të gjyqtarëve/prokurorëve në detyrë, aplikuar/miratuar nga Këshilli i Lartë i Drejtësisë/Prokurori i Përgjithshëm duke ndikuar në larminë tematike, sasinë dhe cilësinë e sesioneve trajnuese, si dhe në frekuentimin korrekt të tyre. </w:t>
      </w:r>
    </w:p>
    <w:p w:rsidR="00CA7CDB" w:rsidRPr="00EA76BB" w:rsidRDefault="00CA7CDB" w:rsidP="00CA7CDB">
      <w:pPr>
        <w:jc w:val="both"/>
        <w:outlineLvl w:val="0"/>
        <w:rPr>
          <w:rFonts w:ascii="Bookman Old Style" w:hAnsi="Bookman Old Style" w:cs="Calibri"/>
          <w:b/>
        </w:rPr>
      </w:pPr>
      <w:r w:rsidRPr="00EA76BB">
        <w:rPr>
          <w:rFonts w:ascii="Bookman Old Style" w:hAnsi="Bookman Old Style" w:cs="Calibri"/>
          <w:b/>
        </w:rPr>
        <w:t>Programi  dhe kalendari tri vjeçar:</w:t>
      </w:r>
    </w:p>
    <w:p w:rsidR="00CA7CDB" w:rsidRPr="00EA76BB" w:rsidRDefault="00CA7CDB" w:rsidP="00CA7CDB">
      <w:pPr>
        <w:jc w:val="both"/>
        <w:rPr>
          <w:rFonts w:ascii="Bookman Old Style" w:hAnsi="Bookman Old Style" w:cs="Calibri"/>
        </w:rPr>
      </w:pPr>
      <w:r w:rsidRPr="00EA76BB">
        <w:rPr>
          <w:rFonts w:ascii="Bookman Old Style" w:hAnsi="Bookman Old Style" w:cs="Calibri"/>
        </w:rPr>
        <w:lastRenderedPageBreak/>
        <w:t xml:space="preserve">Sikurse është bërë evidente edhe në raportet e mëparshme drejtuar KLD, Shkolla ka ndërtuar një mekanizëm të vlerësimit të nevojave, i cili ka shtrirje ‘makro’ dhe  ‘mikro’ dhe që konkludon me miratimin e programit </w:t>
      </w:r>
      <w:r>
        <w:rPr>
          <w:rFonts w:ascii="Bookman Old Style" w:hAnsi="Bookman Old Style" w:cs="Calibri"/>
        </w:rPr>
        <w:t xml:space="preserve">tematik </w:t>
      </w:r>
      <w:r w:rsidRPr="00EA76BB">
        <w:rPr>
          <w:rFonts w:ascii="Bookman Old Style" w:hAnsi="Bookman Old Style" w:cs="Calibri"/>
        </w:rPr>
        <w:t>tri vjeçar lidhur me formimin vazhdues në formatin e një kalendari</w:t>
      </w:r>
      <w:r>
        <w:rPr>
          <w:rFonts w:ascii="Bookman Old Style" w:hAnsi="Bookman Old Style" w:cs="Calibri"/>
        </w:rPr>
        <w:t xml:space="preserve"> të përvitshëm dhe të përditsuar vit pas viti me tema të reja</w:t>
      </w:r>
      <w:r w:rsidRPr="00EA76BB">
        <w:rPr>
          <w:rFonts w:ascii="Bookman Old Style" w:hAnsi="Bookman Old Style" w:cs="Calibri"/>
        </w:rPr>
        <w:t>. Shkolla oper</w:t>
      </w:r>
      <w:r>
        <w:rPr>
          <w:rFonts w:ascii="Bookman Old Style" w:hAnsi="Bookman Old Style" w:cs="Calibri"/>
        </w:rPr>
        <w:t>on përmes</w:t>
      </w:r>
      <w:r w:rsidRPr="00EA76BB">
        <w:rPr>
          <w:rFonts w:ascii="Bookman Old Style" w:hAnsi="Bookman Old Style" w:cs="Calibri"/>
        </w:rPr>
        <w:t xml:space="preserve"> programe</w:t>
      </w:r>
      <w:r>
        <w:rPr>
          <w:rFonts w:ascii="Bookman Old Style" w:hAnsi="Bookman Old Style" w:cs="Calibri"/>
        </w:rPr>
        <w:t>ve</w:t>
      </w:r>
      <w:r w:rsidRPr="00EA76BB">
        <w:rPr>
          <w:rFonts w:ascii="Bookman Old Style" w:hAnsi="Bookman Old Style" w:cs="Calibri"/>
        </w:rPr>
        <w:t xml:space="preserve"> dhe kalendarë</w:t>
      </w:r>
      <w:r>
        <w:rPr>
          <w:rFonts w:ascii="Bookman Old Style" w:hAnsi="Bookman Old Style" w:cs="Calibri"/>
        </w:rPr>
        <w:t>ve</w:t>
      </w:r>
      <w:r w:rsidRPr="00EA76BB">
        <w:rPr>
          <w:rFonts w:ascii="Bookman Old Style" w:hAnsi="Bookman Old Style" w:cs="Calibri"/>
        </w:rPr>
        <w:t xml:space="preserve"> një vjeçar</w:t>
      </w:r>
      <w:r>
        <w:rPr>
          <w:rFonts w:ascii="Bookman Old Style" w:hAnsi="Bookman Old Style" w:cs="Calibri"/>
        </w:rPr>
        <w:t>ë. SHMka më shumë se një dekadë që ka</w:t>
      </w:r>
      <w:r w:rsidRPr="00EA76BB">
        <w:rPr>
          <w:rFonts w:ascii="Bookman Old Style" w:hAnsi="Bookman Old Style" w:cs="Calibri"/>
        </w:rPr>
        <w:t xml:space="preserve"> ndryshuar në thelb vlerësimin e nevojave</w:t>
      </w:r>
      <w:r>
        <w:rPr>
          <w:rFonts w:ascii="Bookman Old Style" w:hAnsi="Bookman Old Style" w:cs="Calibri"/>
        </w:rPr>
        <w:t xml:space="preserve">. Kështu ësht kaluar nga nevojat e diktuara nga jashtë në ato </w:t>
      </w:r>
      <w:r w:rsidRPr="00EA76BB">
        <w:rPr>
          <w:rFonts w:ascii="Bookman Old Style" w:hAnsi="Bookman Old Style" w:cs="Calibri"/>
        </w:rPr>
        <w:t xml:space="preserve">të diktuara </w:t>
      </w:r>
      <w:r>
        <w:rPr>
          <w:rFonts w:ascii="Bookman Old Style" w:hAnsi="Bookman Old Style" w:cs="Calibri"/>
        </w:rPr>
        <w:t xml:space="preserve">kryesisht </w:t>
      </w:r>
      <w:r w:rsidRPr="00EA76BB">
        <w:rPr>
          <w:rFonts w:ascii="Bookman Old Style" w:hAnsi="Bookman Old Style" w:cs="Calibri"/>
        </w:rPr>
        <w:t>nga gjyqtarë</w:t>
      </w:r>
      <w:r>
        <w:rPr>
          <w:rFonts w:ascii="Bookman Old Style" w:hAnsi="Bookman Old Style" w:cs="Calibri"/>
        </w:rPr>
        <w:t xml:space="preserve">t </w:t>
      </w:r>
      <w:r w:rsidRPr="00EA76BB">
        <w:rPr>
          <w:rFonts w:ascii="Bookman Old Style" w:hAnsi="Bookman Old Style" w:cs="Calibri"/>
        </w:rPr>
        <w:t>dhe prokurorë</w:t>
      </w:r>
      <w:r>
        <w:rPr>
          <w:rFonts w:ascii="Bookman Old Style" w:hAnsi="Bookman Old Style" w:cs="Calibri"/>
        </w:rPr>
        <w:t>t</w:t>
      </w:r>
      <w:r w:rsidRPr="00EA76BB">
        <w:rPr>
          <w:rFonts w:ascii="Bookman Old Style" w:hAnsi="Bookman Old Style" w:cs="Calibri"/>
        </w:rPr>
        <w:t xml:space="preserve">.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Ky raport përfshin aktivitetet e FV për vitin akademik 2015-2016. Çdo vit, programi detajohet në një kalendar aktivitetesh dhe ndodh që në kalendar të gjejmë edhe një pasurim të vet programit ç’ka mundëson që Shkolla t’u përgjigjet nevojave në çështje të caktuara në mënyrë dinamike dhe të vazhdueshme.</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Çdo prurje e re tematike dhe ekspertize në formimin vazhdues ndjek rigorozisht të njëjtën procedurë miratimi sipas parashikimeve ligjore dhe akteve rregullative të Shkollës së Magjistraturës.</w:t>
      </w:r>
    </w:p>
    <w:p w:rsidR="00CA7CDB" w:rsidRPr="00EA76BB" w:rsidRDefault="00CA7CDB" w:rsidP="00CA7CDB">
      <w:pPr>
        <w:jc w:val="both"/>
        <w:outlineLvl w:val="0"/>
        <w:rPr>
          <w:rFonts w:ascii="Bookman Old Style" w:hAnsi="Bookman Old Style" w:cs="Calibri"/>
          <w:b/>
        </w:rPr>
      </w:pPr>
      <w:r w:rsidRPr="00EA76BB">
        <w:rPr>
          <w:rFonts w:ascii="Bookman Old Style" w:hAnsi="Bookman Old Style" w:cs="Calibri"/>
          <w:b/>
        </w:rPr>
        <w:t>Standardet e PFV në sfidën e një metodologjie bashkëkohore:</w:t>
      </w:r>
    </w:p>
    <w:p w:rsidR="00CA7CDB" w:rsidRPr="00EA76BB" w:rsidRDefault="00CA7CDB" w:rsidP="00CA7CDB">
      <w:pPr>
        <w:jc w:val="both"/>
        <w:rPr>
          <w:rFonts w:ascii="Bookman Old Style" w:hAnsi="Bookman Old Style" w:cs="Calibri"/>
        </w:rPr>
      </w:pPr>
      <w:r>
        <w:rPr>
          <w:rFonts w:ascii="Bookman Old Style" w:hAnsi="Bookman Old Style" w:cs="Calibri"/>
        </w:rPr>
        <w:t>S</w:t>
      </w:r>
      <w:r w:rsidRPr="00EA76BB">
        <w:rPr>
          <w:rFonts w:ascii="Bookman Old Style" w:hAnsi="Bookman Old Style" w:cs="Calibri"/>
        </w:rPr>
        <w:t>tandarde</w:t>
      </w:r>
      <w:r>
        <w:rPr>
          <w:rFonts w:ascii="Bookman Old Style" w:hAnsi="Bookman Old Style" w:cs="Calibri"/>
        </w:rPr>
        <w:t xml:space="preserve">t </w:t>
      </w:r>
      <w:r w:rsidR="00251B7E">
        <w:rPr>
          <w:rFonts w:ascii="Bookman Old Style" w:hAnsi="Bookman Old Style" w:cs="Calibri"/>
        </w:rPr>
        <w:t xml:space="preserve">e </w:t>
      </w:r>
      <w:r>
        <w:rPr>
          <w:rFonts w:ascii="Bookman Old Style" w:hAnsi="Bookman Old Style" w:cs="Calibri"/>
        </w:rPr>
        <w:t xml:space="preserve">të gjithë komponentëve të </w:t>
      </w:r>
      <w:r w:rsidRPr="00EA76BB">
        <w:rPr>
          <w:rFonts w:ascii="Bookman Old Style" w:hAnsi="Bookman Old Style" w:cs="Calibri"/>
        </w:rPr>
        <w:t xml:space="preserve">formimit vazhdues </w:t>
      </w:r>
      <w:r>
        <w:rPr>
          <w:rFonts w:ascii="Bookman Old Style" w:hAnsi="Bookman Old Style" w:cs="Calibri"/>
        </w:rPr>
        <w:t>janë vetëm në përmirësim të vazhdueshëm</w:t>
      </w:r>
      <w:r w:rsidRPr="00EA76BB">
        <w:rPr>
          <w:rFonts w:ascii="Bookman Old Style" w:hAnsi="Bookman Old Style" w:cs="Calibri"/>
        </w:rPr>
        <w:t xml:space="preserve">. Ka përmirësime cilësore të drejtimeve të ndryshmetë cilat janë prioritare për </w:t>
      </w:r>
      <w:bookmarkStart w:id="12" w:name="n"/>
      <w:bookmarkEnd w:id="12"/>
      <w:r w:rsidRPr="00EA76BB">
        <w:rPr>
          <w:rFonts w:ascii="Bookman Old Style" w:hAnsi="Bookman Old Style" w:cs="Calibri"/>
        </w:rPr>
        <w:t xml:space="preserve">realizimin e kërkesave të një formimi të nivelit të lartë profesional, si edhe të garantimit të cilësisë edhe në disa drejtime të tjera si ato të karakterit logjistik dhe infrastrukturor.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Po sjellim në </w:t>
      </w:r>
      <w:r w:rsidRPr="005A2325">
        <w:rPr>
          <w:rFonts w:ascii="Bookman Old Style" w:hAnsi="Bookman Old Style" w:cs="Calibri"/>
        </w:rPr>
        <w:t>vëmendje të KLD</w:t>
      </w:r>
      <w:r>
        <w:rPr>
          <w:rFonts w:ascii="Bookman Old Style" w:hAnsi="Bookman Old Style" w:cs="Calibri"/>
        </w:rPr>
        <w:t>, në mënyrë të përsëritur, aspektet e konsoliduara dhe ato të reja lidhur me</w:t>
      </w:r>
      <w:r w:rsidRPr="005A2325">
        <w:rPr>
          <w:rFonts w:ascii="Bookman Old Style" w:hAnsi="Bookman Old Style" w:cs="Calibri"/>
        </w:rPr>
        <w:t xml:space="preserve"> metodologjinë</w:t>
      </w:r>
      <w:r w:rsidRPr="00EA76BB">
        <w:rPr>
          <w:rFonts w:ascii="Bookman Old Style" w:hAnsi="Bookman Old Style" w:cs="Calibri"/>
        </w:rPr>
        <w:t xml:space="preserve"> e ndjekur nga SHM lidhur me hartimin e programit tematik.</w:t>
      </w:r>
      <w:r>
        <w:rPr>
          <w:rFonts w:ascii="Bookman Old Style" w:hAnsi="Bookman Old Style" w:cs="Calibri"/>
        </w:rPr>
        <w:t xml:space="preserve"> Kjo edhe me qëllim që të konsiderohen dhe të sugjeorohen, sipas rastit përmirësime eventuale. Kështu:</w:t>
      </w:r>
    </w:p>
    <w:p w:rsidR="00CA7CDB" w:rsidRPr="00EA76BB" w:rsidRDefault="00CA7CDB" w:rsidP="003C4BF1">
      <w:pPr>
        <w:numPr>
          <w:ilvl w:val="0"/>
          <w:numId w:val="22"/>
        </w:numPr>
        <w:jc w:val="both"/>
        <w:rPr>
          <w:rFonts w:ascii="Bookman Old Style" w:hAnsi="Bookman Old Style" w:cs="Calibri"/>
        </w:rPr>
      </w:pPr>
      <w:r w:rsidRPr="00EA76BB">
        <w:rPr>
          <w:rFonts w:ascii="Bookman Old Style" w:hAnsi="Bookman Old Style" w:cs="Calibri"/>
        </w:rPr>
        <w:t xml:space="preserve">Programi dhe kalendari janë </w:t>
      </w:r>
      <w:r>
        <w:rPr>
          <w:rFonts w:ascii="Bookman Old Style" w:hAnsi="Bookman Old Style" w:cs="Calibri"/>
        </w:rPr>
        <w:t>hartuar</w:t>
      </w:r>
      <w:r w:rsidRPr="00EA76BB">
        <w:rPr>
          <w:rFonts w:ascii="Bookman Old Style" w:hAnsi="Bookman Old Style" w:cs="Calibri"/>
        </w:rPr>
        <w:t xml:space="preserve"> me kujdes, duke u bazuar në kërkesat e drejtpërdrejta të gjyqtarëve dhe prokurorëve. Për këtë është respektuar një metodologji bashkëkohore dhe e kryqëzuar informacioni duke shfrytëzuar:</w:t>
      </w:r>
    </w:p>
    <w:p w:rsidR="00CA7CDB" w:rsidRPr="00EA76BB" w:rsidRDefault="00CA7CDB" w:rsidP="003C4BF1">
      <w:pPr>
        <w:numPr>
          <w:ilvl w:val="0"/>
          <w:numId w:val="23"/>
        </w:numPr>
        <w:jc w:val="both"/>
        <w:rPr>
          <w:rFonts w:ascii="Bookman Old Style" w:hAnsi="Bookman Old Style" w:cs="Calibri"/>
        </w:rPr>
      </w:pPr>
      <w:r w:rsidRPr="00EA76BB">
        <w:rPr>
          <w:rFonts w:ascii="Bookman Old Style" w:hAnsi="Bookman Old Style" w:cs="Calibri"/>
        </w:rPr>
        <w:t>Të dhënat e pyetësorëve të diversifikuar dërguar individualisht të gjithë gjyqtarëve e prokurorëve me qëllim që secili të ketë mundësi të shprehet për nevojat e veta individuale;</w:t>
      </w:r>
    </w:p>
    <w:p w:rsidR="00CA7CDB" w:rsidRPr="00EA76BB" w:rsidRDefault="00CA7CDB" w:rsidP="003C4BF1">
      <w:pPr>
        <w:numPr>
          <w:ilvl w:val="0"/>
          <w:numId w:val="23"/>
        </w:numPr>
        <w:jc w:val="both"/>
        <w:rPr>
          <w:rFonts w:ascii="Bookman Old Style" w:hAnsi="Bookman Old Style" w:cs="Calibri"/>
        </w:rPr>
      </w:pPr>
      <w:r w:rsidRPr="00EA76BB">
        <w:rPr>
          <w:rFonts w:ascii="Bookman Old Style" w:hAnsi="Bookman Old Style" w:cs="Calibri"/>
        </w:rPr>
        <w:t>Të gjithë kryetarëve të gjykatave/prokurorive u dërgohet ftesë e hapur me qëllim që të shprehen për nevojat në rang gjykate e prokurorie</w:t>
      </w:r>
      <w:r>
        <w:rPr>
          <w:rFonts w:ascii="Bookman Old Style" w:hAnsi="Bookman Old Style" w:cs="Calibri"/>
        </w:rPr>
        <w:t xml:space="preserve"> por edhe për cdo gjyqtar</w:t>
      </w:r>
      <w:r w:rsidRPr="00EA76BB">
        <w:rPr>
          <w:rFonts w:ascii="Bookman Old Style" w:hAnsi="Bookman Old Style" w:cs="Calibri"/>
        </w:rPr>
        <w:t>;</w:t>
      </w:r>
    </w:p>
    <w:p w:rsidR="00CA7CDB" w:rsidRPr="00EA76BB" w:rsidRDefault="00CA7CDB" w:rsidP="003C4BF1">
      <w:pPr>
        <w:numPr>
          <w:ilvl w:val="0"/>
          <w:numId w:val="23"/>
        </w:numPr>
        <w:jc w:val="both"/>
        <w:rPr>
          <w:rFonts w:ascii="Bookman Old Style" w:hAnsi="Bookman Old Style" w:cs="Calibri"/>
        </w:rPr>
      </w:pPr>
      <w:r w:rsidRPr="00EA76BB">
        <w:rPr>
          <w:rFonts w:ascii="Bookman Old Style" w:hAnsi="Bookman Old Style" w:cs="Calibri"/>
        </w:rPr>
        <w:t xml:space="preserve">Të dhënat e nxjerra nga pyetësorët e vlerësimit të çdo aktiviteti të FV;  </w:t>
      </w:r>
    </w:p>
    <w:p w:rsidR="00CA7CDB" w:rsidRPr="00EA76BB" w:rsidRDefault="00CA7CDB" w:rsidP="003C4BF1">
      <w:pPr>
        <w:numPr>
          <w:ilvl w:val="0"/>
          <w:numId w:val="23"/>
        </w:numPr>
        <w:spacing w:after="0" w:line="240" w:lineRule="auto"/>
        <w:jc w:val="both"/>
        <w:rPr>
          <w:rFonts w:ascii="Bookman Old Style" w:eastAsia="Times New Roman" w:hAnsi="Bookman Old Style"/>
        </w:rPr>
      </w:pPr>
      <w:r w:rsidRPr="00EA76BB">
        <w:rPr>
          <w:rFonts w:ascii="Bookman Old Style" w:eastAsia="Times New Roman" w:hAnsi="Bookman Old Style"/>
        </w:rPr>
        <w:t>Të dhënat e nxjerra nga realizimi i diskutimeve të drejtpërdrejta gjatë sesioneve trajnuese ose aktiviteteve specifike të natyrës brainstorming;</w:t>
      </w:r>
    </w:p>
    <w:p w:rsidR="00CA7CDB" w:rsidRPr="00EA76BB" w:rsidRDefault="00CA7CDB" w:rsidP="003C4BF1">
      <w:pPr>
        <w:numPr>
          <w:ilvl w:val="0"/>
          <w:numId w:val="23"/>
        </w:numPr>
        <w:spacing w:after="0" w:line="240" w:lineRule="auto"/>
        <w:jc w:val="both"/>
        <w:rPr>
          <w:rFonts w:ascii="Bookman Old Style" w:eastAsia="Times New Roman" w:hAnsi="Bookman Old Style"/>
        </w:rPr>
      </w:pPr>
      <w:r w:rsidRPr="00EA76BB">
        <w:rPr>
          <w:rFonts w:ascii="Bookman Old Style" w:eastAsia="Times New Roman" w:hAnsi="Bookman Old Style"/>
        </w:rPr>
        <w:t>Të dhënat e nxjerra nga përpunimi i procesverbaleve të plotësuara nga ekspertët/lehtësuesit të përfshirë në programin e formimit vazhdues;</w:t>
      </w:r>
    </w:p>
    <w:p w:rsidR="00CA7CDB" w:rsidRPr="00EA76BB" w:rsidRDefault="00CA7CDB" w:rsidP="003C4BF1">
      <w:pPr>
        <w:numPr>
          <w:ilvl w:val="0"/>
          <w:numId w:val="23"/>
        </w:numPr>
        <w:spacing w:after="0" w:line="240" w:lineRule="auto"/>
        <w:jc w:val="both"/>
        <w:rPr>
          <w:rFonts w:ascii="Bookman Old Style" w:eastAsia="Times New Roman" w:hAnsi="Bookman Old Style"/>
        </w:rPr>
      </w:pPr>
      <w:r w:rsidRPr="00EA76BB">
        <w:rPr>
          <w:rFonts w:ascii="Bookman Old Style" w:eastAsia="Times New Roman" w:hAnsi="Bookman Old Style"/>
        </w:rPr>
        <w:t xml:space="preserve">Marrjes së mendimit të të gjitha institucioneve të tjera të interesuara për reformën në drejtësi ose veprimtaria e të cilave është e lidhur me sistemin e drejtësisë; </w:t>
      </w:r>
    </w:p>
    <w:p w:rsidR="00CA7CDB" w:rsidRPr="00EA76BB" w:rsidRDefault="00CA7CDB" w:rsidP="003C4BF1">
      <w:pPr>
        <w:numPr>
          <w:ilvl w:val="0"/>
          <w:numId w:val="23"/>
        </w:numPr>
        <w:spacing w:after="0" w:line="240" w:lineRule="auto"/>
        <w:jc w:val="both"/>
        <w:rPr>
          <w:rFonts w:ascii="Bookman Old Style" w:eastAsia="Times New Roman" w:hAnsi="Bookman Old Style"/>
        </w:rPr>
      </w:pPr>
      <w:r w:rsidRPr="00EA76BB">
        <w:rPr>
          <w:rFonts w:ascii="Bookman Old Style" w:eastAsia="Times New Roman" w:hAnsi="Bookman Old Style"/>
        </w:rPr>
        <w:lastRenderedPageBreak/>
        <w:t xml:space="preserve">Konsultave me partnerët ndërkombëtarë dhe miqtë e Shkollës; </w:t>
      </w:r>
    </w:p>
    <w:p w:rsidR="00CA7CDB" w:rsidRDefault="00CA7CDB" w:rsidP="003C4BF1">
      <w:pPr>
        <w:numPr>
          <w:ilvl w:val="0"/>
          <w:numId w:val="23"/>
        </w:numPr>
        <w:spacing w:after="0" w:line="240" w:lineRule="auto"/>
        <w:jc w:val="both"/>
        <w:rPr>
          <w:rFonts w:ascii="Bookman Old Style" w:eastAsia="Times New Roman" w:hAnsi="Bookman Old Style"/>
        </w:rPr>
      </w:pPr>
      <w:r w:rsidRPr="00EA76BB">
        <w:rPr>
          <w:rFonts w:ascii="Bookman Old Style" w:eastAsia="Times New Roman" w:hAnsi="Bookman Old Style"/>
        </w:rPr>
        <w:t>Verifikimit të prioriteteve të qeverisë lidhur me legjislacionin e ri</w:t>
      </w:r>
      <w:r>
        <w:rPr>
          <w:rFonts w:ascii="Bookman Old Style" w:eastAsia="Times New Roman" w:hAnsi="Bookman Old Style"/>
        </w:rPr>
        <w:t>, reformës në drejtësidhe cdo procesi që</w:t>
      </w:r>
      <w:r w:rsidRPr="00EA76BB">
        <w:rPr>
          <w:rFonts w:ascii="Bookman Old Style" w:eastAsia="Times New Roman" w:hAnsi="Bookman Old Style"/>
        </w:rPr>
        <w:t xml:space="preserve"> ndikon në  veprimtarinë e </w:t>
      </w:r>
      <w:r>
        <w:rPr>
          <w:rFonts w:ascii="Bookman Old Style" w:eastAsia="Times New Roman" w:hAnsi="Bookman Old Style"/>
        </w:rPr>
        <w:t xml:space="preserve">sistemit të drejtsisë në përgjithësi dhe të gjyqësorit e prokurorisë në vecanti, </w:t>
      </w:r>
    </w:p>
    <w:p w:rsidR="00CA7CDB" w:rsidRPr="00EA76BB" w:rsidRDefault="00CA7CDB" w:rsidP="003C4BF1">
      <w:pPr>
        <w:numPr>
          <w:ilvl w:val="0"/>
          <w:numId w:val="23"/>
        </w:numPr>
        <w:spacing w:after="0" w:line="240" w:lineRule="auto"/>
        <w:jc w:val="both"/>
        <w:rPr>
          <w:rFonts w:ascii="Bookman Old Style" w:eastAsia="Times New Roman" w:hAnsi="Bookman Old Style"/>
        </w:rPr>
      </w:pPr>
      <w:r>
        <w:rPr>
          <w:rFonts w:ascii="Bookman Old Style" w:eastAsia="Times New Roman" w:hAnsi="Bookman Old Style"/>
        </w:rPr>
        <w:t>Analizës së politikave</w:t>
      </w:r>
      <w:r w:rsidRPr="00EA76BB">
        <w:rPr>
          <w:rFonts w:ascii="Bookman Old Style" w:eastAsia="Times New Roman" w:hAnsi="Bookman Old Style"/>
        </w:rPr>
        <w:t xml:space="preserve"> në kuadrin e përqasjes me legjislacionin e BE-së; dokumentet strategjikë, reformën ligjore dhe institucionale, si dhe angazhimeve të marra nga Shqipëria, në kuadër të procesit të Integrimit Evropian;</w:t>
      </w:r>
    </w:p>
    <w:p w:rsidR="00CA7CDB" w:rsidRPr="00EA76BB" w:rsidRDefault="00CA7CDB" w:rsidP="003C4BF1">
      <w:pPr>
        <w:numPr>
          <w:ilvl w:val="0"/>
          <w:numId w:val="23"/>
        </w:numPr>
        <w:spacing w:after="0" w:line="240" w:lineRule="auto"/>
        <w:jc w:val="both"/>
        <w:rPr>
          <w:rFonts w:ascii="Bookman Old Style" w:eastAsia="Times New Roman" w:hAnsi="Bookman Old Style"/>
        </w:rPr>
      </w:pPr>
      <w:r w:rsidRPr="00EA76BB">
        <w:rPr>
          <w:rFonts w:ascii="Bookman Old Style" w:eastAsia="Times New Roman" w:hAnsi="Bookman Old Style"/>
        </w:rPr>
        <w:t>Konsultimit me jurisprudencën e GJEDNJ dhe të GJED;</w:t>
      </w:r>
    </w:p>
    <w:p w:rsidR="00CA7CDB" w:rsidRDefault="00CA7CDB" w:rsidP="003C4BF1">
      <w:pPr>
        <w:numPr>
          <w:ilvl w:val="0"/>
          <w:numId w:val="23"/>
        </w:numPr>
        <w:spacing w:after="0" w:line="240" w:lineRule="auto"/>
        <w:jc w:val="both"/>
        <w:rPr>
          <w:rFonts w:ascii="Bookman Old Style" w:eastAsia="Times New Roman" w:hAnsi="Bookman Old Style"/>
        </w:rPr>
      </w:pPr>
      <w:r w:rsidRPr="00EA76BB">
        <w:rPr>
          <w:rFonts w:ascii="Bookman Old Style" w:eastAsia="Times New Roman" w:hAnsi="Bookman Old Style"/>
        </w:rPr>
        <w:t xml:space="preserve">Njohjes me detyrimet që burojnë nga instrumente ndërkombëtare të ratifikuara, </w:t>
      </w:r>
    </w:p>
    <w:p w:rsidR="00CA7CDB" w:rsidRPr="00EA76BB" w:rsidRDefault="00CA7CDB" w:rsidP="003C4BF1">
      <w:pPr>
        <w:numPr>
          <w:ilvl w:val="0"/>
          <w:numId w:val="23"/>
        </w:numPr>
        <w:spacing w:after="0" w:line="240" w:lineRule="auto"/>
        <w:jc w:val="both"/>
        <w:rPr>
          <w:rFonts w:ascii="Bookman Old Style" w:eastAsia="Times New Roman" w:hAnsi="Bookman Old Style"/>
        </w:rPr>
      </w:pPr>
      <w:r>
        <w:rPr>
          <w:rFonts w:ascii="Bookman Old Style" w:eastAsia="Times New Roman" w:hAnsi="Bookman Old Style"/>
        </w:rPr>
        <w:t>Pasqyrimi në media i problematikës së sistemit të drejtësisë, etj</w:t>
      </w:r>
    </w:p>
    <w:p w:rsidR="00CA7CDB" w:rsidRPr="00EA76BB" w:rsidRDefault="00CA7CDB" w:rsidP="00CA7CDB">
      <w:pPr>
        <w:ind w:left="720"/>
        <w:jc w:val="both"/>
        <w:rPr>
          <w:rFonts w:ascii="Bookman Old Style" w:hAnsi="Bookman Old Style" w:cs="Calibri"/>
        </w:rPr>
      </w:pPr>
    </w:p>
    <w:p w:rsidR="00CA7CDB" w:rsidRPr="00EA76BB" w:rsidRDefault="00CA7CDB" w:rsidP="003C4BF1">
      <w:pPr>
        <w:numPr>
          <w:ilvl w:val="0"/>
          <w:numId w:val="24"/>
        </w:numPr>
        <w:jc w:val="both"/>
        <w:rPr>
          <w:rFonts w:ascii="Bookman Old Style" w:hAnsi="Bookman Old Style" w:cs="Calibri"/>
        </w:rPr>
      </w:pPr>
      <w:r w:rsidRPr="00EA76BB">
        <w:rPr>
          <w:rFonts w:ascii="Bookman Old Style" w:hAnsi="Bookman Old Style" w:cs="Calibri"/>
        </w:rPr>
        <w:t xml:space="preserve">Programi dhe kalendari pasqyron risitë dhe efektet e reformës ligjore dhe të reformës në drejtësisë në përgjithësi, të cilat </w:t>
      </w:r>
      <w:r>
        <w:rPr>
          <w:rFonts w:ascii="Bookman Old Style" w:hAnsi="Bookman Old Style" w:cs="Calibri"/>
        </w:rPr>
        <w:t>ka</w:t>
      </w:r>
      <w:r w:rsidRPr="00EA76BB">
        <w:rPr>
          <w:rFonts w:ascii="Bookman Old Style" w:hAnsi="Bookman Old Style" w:cs="Calibri"/>
        </w:rPr>
        <w:t>në</w:t>
      </w:r>
      <w:r>
        <w:rPr>
          <w:rFonts w:ascii="Bookman Old Style" w:hAnsi="Bookman Old Style" w:cs="Calibri"/>
        </w:rPr>
        <w:t xml:space="preserve"> efekt mbi</w:t>
      </w:r>
      <w:r w:rsidRPr="00EA76BB">
        <w:rPr>
          <w:rFonts w:ascii="Bookman Old Style" w:hAnsi="Bookman Old Style" w:cs="Calibri"/>
        </w:rPr>
        <w:t xml:space="preserve"> veprimtarinë e gjyqtarëve dhe të prokurorëve. </w:t>
      </w:r>
    </w:p>
    <w:p w:rsidR="00CA7CDB" w:rsidRPr="00EA76BB" w:rsidRDefault="00CA7CDB" w:rsidP="003C4BF1">
      <w:pPr>
        <w:numPr>
          <w:ilvl w:val="0"/>
          <w:numId w:val="24"/>
        </w:numPr>
        <w:jc w:val="both"/>
        <w:rPr>
          <w:rFonts w:ascii="Bookman Old Style" w:hAnsi="Bookman Old Style" w:cs="Calibri"/>
        </w:rPr>
      </w:pPr>
      <w:r w:rsidRPr="00EA76BB">
        <w:rPr>
          <w:rFonts w:ascii="Bookman Old Style" w:hAnsi="Bookman Old Style" w:cs="Calibri"/>
          <w:i/>
        </w:rPr>
        <w:t>Temat e përsëritura</w:t>
      </w:r>
      <w:r w:rsidRPr="00EA76BB">
        <w:rPr>
          <w:rFonts w:ascii="Bookman Old Style" w:hAnsi="Bookman Old Style" w:cs="Calibri"/>
        </w:rPr>
        <w:t xml:space="preserve">: </w:t>
      </w:r>
      <w:r>
        <w:rPr>
          <w:rFonts w:ascii="Bookman Old Style" w:hAnsi="Bookman Old Style" w:cs="Calibri"/>
        </w:rPr>
        <w:t xml:space="preserve">duam të nënvizojmë këtë cështj sepse </w:t>
      </w:r>
      <w:r w:rsidRPr="00EA76BB">
        <w:rPr>
          <w:rFonts w:ascii="Bookman Old Style" w:hAnsi="Bookman Old Style" w:cs="Calibri"/>
        </w:rPr>
        <w:t>herë pas here në KLD mbahet një qëndrim jo miratues ndaj temave të cilat duket se përsëriten. Për këtë vlen të sqarojmë se përsëritja e temave të caktuara nuk ka të bëjë me vetëvendosje të tyre nga stafi i SHM por me vlerësimin e nevojave:</w:t>
      </w:r>
    </w:p>
    <w:p w:rsidR="00CA7CDB" w:rsidRPr="00EA76BB" w:rsidRDefault="00CA7CDB" w:rsidP="003C4BF1">
      <w:pPr>
        <w:numPr>
          <w:ilvl w:val="0"/>
          <w:numId w:val="25"/>
        </w:numPr>
        <w:jc w:val="both"/>
        <w:rPr>
          <w:rFonts w:ascii="Bookman Old Style" w:hAnsi="Bookman Old Style" w:cs="Calibri"/>
        </w:rPr>
      </w:pPr>
      <w:r w:rsidRPr="00EA76BB">
        <w:rPr>
          <w:rFonts w:ascii="Bookman Old Style" w:hAnsi="Bookman Old Style" w:cs="Calibri"/>
        </w:rPr>
        <w:t>Së pari, janë vet përfituesit e shërbimit që i kërkojnë këto tema;</w:t>
      </w:r>
    </w:p>
    <w:p w:rsidR="00CA7CDB" w:rsidRPr="00EA76BB" w:rsidRDefault="00CA7CDB" w:rsidP="003C4BF1">
      <w:pPr>
        <w:numPr>
          <w:ilvl w:val="0"/>
          <w:numId w:val="25"/>
        </w:numPr>
        <w:jc w:val="both"/>
        <w:rPr>
          <w:rFonts w:ascii="Bookman Old Style" w:hAnsi="Bookman Old Style" w:cs="Calibri"/>
        </w:rPr>
      </w:pPr>
      <w:r w:rsidRPr="00EA76BB">
        <w:rPr>
          <w:rFonts w:ascii="Bookman Old Style" w:hAnsi="Bookman Old Style" w:cs="Calibri"/>
        </w:rPr>
        <w:t>Së dyti, ekspertët instruktohen lidhur me zhvillimet e mëparshme të këtyre temave dhe varësisht auditorit ndërtojnë një zhvillim të një niveli më të lartë dhe të azhurnuar me problemet e reja të praktikës.</w:t>
      </w:r>
    </w:p>
    <w:p w:rsidR="00CA7CDB" w:rsidRPr="00EA76BB" w:rsidRDefault="00CA7CDB" w:rsidP="003C4BF1">
      <w:pPr>
        <w:numPr>
          <w:ilvl w:val="0"/>
          <w:numId w:val="25"/>
        </w:numPr>
        <w:jc w:val="both"/>
        <w:rPr>
          <w:rFonts w:ascii="Bookman Old Style" w:hAnsi="Bookman Old Style" w:cs="Calibri"/>
        </w:rPr>
      </w:pPr>
      <w:r w:rsidRPr="00EA76BB">
        <w:rPr>
          <w:rFonts w:ascii="Bookman Old Style" w:hAnsi="Bookman Old Style" w:cs="Calibri"/>
        </w:rPr>
        <w:t>Ekspertëve ju vihet në dispozicion lista e pjesëmarrësve në aktivitetet e mëparshme dhe të aktivitetit që do të realizohet me qëllim që të shmangin përsëritjet ose anasjelltas.</w:t>
      </w:r>
    </w:p>
    <w:p w:rsidR="00CA7CDB" w:rsidRPr="00EA76BB" w:rsidRDefault="00CA7CDB" w:rsidP="003C4BF1">
      <w:pPr>
        <w:numPr>
          <w:ilvl w:val="0"/>
          <w:numId w:val="25"/>
        </w:numPr>
        <w:jc w:val="both"/>
        <w:rPr>
          <w:rFonts w:ascii="Bookman Old Style" w:hAnsi="Bookman Old Style" w:cs="Calibri"/>
        </w:rPr>
      </w:pPr>
      <w:r w:rsidRPr="00EA76BB">
        <w:rPr>
          <w:rFonts w:ascii="Bookman Old Style" w:hAnsi="Bookman Old Style" w:cs="Calibri"/>
        </w:rPr>
        <w:t>Kjo ka bërë që në të, të gjenden disa tema solide të kërkuara në mënyrë të përsëritur, por të trajtuara në brendi në mënyrë ose novatore ose në një standard të ri edhe më të lartë edhe më të thelluar</w:t>
      </w:r>
      <w:r>
        <w:rPr>
          <w:rFonts w:ascii="Bookman Old Style" w:hAnsi="Bookman Old Style" w:cs="Calibri"/>
        </w:rPr>
        <w:t xml:space="preserve"> ose me një grup të ri pjesëmarrësish. Duke dashur të mësojmë nga shkollat e vendeve të tjera, kemi konstatuar se kjo nuk është vecori e PTV të SHM të Shqipërisë por e të gjitha shkollave dhe lidhet me nevojat dhe cenimet e të drejjtës në të përditshmen e veprimtarisë së gjykatës dhe prokurorisë.</w:t>
      </w:r>
    </w:p>
    <w:p w:rsidR="00CA7CDB" w:rsidRPr="00EA76BB" w:rsidRDefault="00CA7CDB" w:rsidP="003C4BF1">
      <w:pPr>
        <w:numPr>
          <w:ilvl w:val="0"/>
          <w:numId w:val="26"/>
        </w:numPr>
        <w:jc w:val="both"/>
        <w:rPr>
          <w:rFonts w:ascii="Bookman Old Style" w:hAnsi="Bookman Old Style" w:cs="Calibri"/>
        </w:rPr>
      </w:pPr>
      <w:r w:rsidRPr="00EA76BB">
        <w:rPr>
          <w:rFonts w:ascii="Bookman Old Style" w:hAnsi="Bookman Old Style" w:cs="Calibri"/>
        </w:rPr>
        <w:t>Programi trajnues, ndërsa ka konsideruar si prioritet nevojat e evidentuara nga gjyqtarët e prokurorët, ka vlerësuar edhe çështje të rëndësishme që dalin nga konstatimet e partnerëve ndërkombëtar apo të përvojave të marra nga shkollat e përparuara të magjistraturës në rajon e në botë</w:t>
      </w:r>
      <w:r>
        <w:rPr>
          <w:rFonts w:ascii="Bookman Old Style" w:hAnsi="Bookman Old Style" w:cs="Calibri"/>
        </w:rPr>
        <w:t>, psh, ishte e tillë ndihmesa e SHM të Hollands dhe vizita studimore e organizuar si dhe trajnimet e mbështetura prej KHH [Komitetit të Helsinkit të Hollandës]</w:t>
      </w:r>
    </w:p>
    <w:p w:rsidR="00CA7CDB" w:rsidRPr="00EA76BB" w:rsidRDefault="00CA7CDB" w:rsidP="003C4BF1">
      <w:pPr>
        <w:numPr>
          <w:ilvl w:val="0"/>
          <w:numId w:val="26"/>
        </w:numPr>
        <w:jc w:val="both"/>
        <w:rPr>
          <w:rFonts w:ascii="Bookman Old Style" w:hAnsi="Bookman Old Style" w:cs="Calibri"/>
        </w:rPr>
      </w:pPr>
      <w:r w:rsidRPr="00EA76BB">
        <w:rPr>
          <w:rFonts w:ascii="Bookman Old Style" w:hAnsi="Bookman Old Style" w:cs="Calibri"/>
        </w:rPr>
        <w:t xml:space="preserve">Programi i formimit vazhdues është kujdesur që në të të gjejnë pasqyrim gjithë zhvillimet që diktohen nga jurisprudenca e GJEDNJ dhe GJED me rëndësi të veçantë për gjyqtarët e prokurorët si dhe standardet ndërkombëtare, të cilat bëhen pjesë e legjislacionit </w:t>
      </w:r>
      <w:r w:rsidRPr="00EA76BB">
        <w:rPr>
          <w:rFonts w:ascii="Bookman Old Style" w:hAnsi="Bookman Old Style" w:cs="Calibri"/>
        </w:rPr>
        <w:lastRenderedPageBreak/>
        <w:t xml:space="preserve">shqiptar. Në këtë drejtim një rol të veçantë ka luajtur konsultimi me ekspertë ndërkombëtarë, veçanërisht të këshillit të Evropës, dokumentacionin e CEPEJ, </w:t>
      </w:r>
      <w:r>
        <w:rPr>
          <w:rFonts w:ascii="Bookman Old Style" w:hAnsi="Bookman Old Style" w:cs="Calibri"/>
        </w:rPr>
        <w:t xml:space="preserve">platforma Help, Hudoc, </w:t>
      </w:r>
      <w:r w:rsidRPr="00EA76BB">
        <w:rPr>
          <w:rFonts w:ascii="Bookman Old Style" w:hAnsi="Bookman Old Style" w:cs="Calibri"/>
        </w:rPr>
        <w:t>etj.</w:t>
      </w:r>
    </w:p>
    <w:p w:rsidR="00CA7CDB" w:rsidRPr="00EA76BB" w:rsidRDefault="00CA7CDB" w:rsidP="003C4BF1">
      <w:pPr>
        <w:numPr>
          <w:ilvl w:val="0"/>
          <w:numId w:val="27"/>
        </w:numPr>
        <w:jc w:val="both"/>
        <w:rPr>
          <w:rFonts w:ascii="Bookman Old Style" w:hAnsi="Bookman Old Style" w:cs="Calibri"/>
        </w:rPr>
      </w:pPr>
      <w:r w:rsidRPr="00EA76BB">
        <w:rPr>
          <w:rFonts w:ascii="Bookman Old Style" w:hAnsi="Bookman Old Style" w:cs="Calibri"/>
        </w:rPr>
        <w:t>Për të pasuruar FV me standardet ndërkombëtare përfshi këtu të GJEDNj dhe GjED janë realizuar takime të ndryshme me përfaqësues të partnerëve ndërkombëtarë si Fondacioni Slynn</w:t>
      </w:r>
      <w:r>
        <w:rPr>
          <w:rFonts w:ascii="Bookman Old Style" w:hAnsi="Bookman Old Style" w:cs="Calibri"/>
        </w:rPr>
        <w:t>,</w:t>
      </w:r>
      <w:r w:rsidRPr="00EA76BB">
        <w:rPr>
          <w:rFonts w:ascii="Bookman Old Style" w:hAnsi="Bookman Old Style" w:cs="Calibri"/>
        </w:rPr>
        <w:t xml:space="preserve"> organizata ISLP</w:t>
      </w:r>
      <w:r>
        <w:rPr>
          <w:rFonts w:ascii="Bookman Old Style" w:hAnsi="Bookman Old Style" w:cs="Calibri"/>
        </w:rPr>
        <w:t>. Shkolla Hollandeze, etj</w:t>
      </w:r>
      <w:r w:rsidRPr="00EA76BB">
        <w:rPr>
          <w:rFonts w:ascii="Bookman Old Style" w:hAnsi="Bookman Old Style" w:cs="Calibri"/>
        </w:rPr>
        <w:t>. Veç kësaj të gjithë ekspertët ndërkombëtarë në të gjithë trajtesat e tyre i janë referuar standardeve ndërkombëtare dhe jurisprudencës së GJEDNJ/GJED</w:t>
      </w:r>
      <w:r w:rsidRPr="00EA76BB">
        <w:rPr>
          <w:rFonts w:ascii="Bookman Old Style" w:hAnsi="Bookman Old Style" w:cs="Calibri"/>
          <w:vertAlign w:val="superscript"/>
        </w:rPr>
        <w:footnoteReference w:id="4"/>
      </w:r>
      <w:r w:rsidRPr="00EA76BB">
        <w:rPr>
          <w:rFonts w:ascii="Bookman Old Style" w:hAnsi="Bookman Old Style" w:cs="Calibri"/>
        </w:rPr>
        <w:t>.</w:t>
      </w:r>
    </w:p>
    <w:p w:rsidR="00CA7CDB" w:rsidRDefault="00CA7CDB" w:rsidP="003C4BF1">
      <w:pPr>
        <w:numPr>
          <w:ilvl w:val="0"/>
          <w:numId w:val="27"/>
        </w:numPr>
        <w:jc w:val="both"/>
        <w:rPr>
          <w:rFonts w:ascii="Bookman Old Style" w:hAnsi="Bookman Old Style" w:cs="Calibri"/>
        </w:rPr>
      </w:pPr>
      <w:r>
        <w:rPr>
          <w:rFonts w:ascii="Bookman Old Style" w:hAnsi="Bookman Old Style" w:cs="Calibri"/>
        </w:rPr>
        <w:t xml:space="preserve">Lidhur me pasqyrimin e jurisprudencës së </w:t>
      </w:r>
      <w:r w:rsidRPr="00EA76BB">
        <w:rPr>
          <w:rFonts w:ascii="Bookman Old Style" w:hAnsi="Bookman Old Style" w:cs="Calibri"/>
        </w:rPr>
        <w:t>GJEDNJ dhe GJED</w:t>
      </w:r>
      <w:r>
        <w:rPr>
          <w:rFonts w:ascii="Bookman Old Style" w:hAnsi="Bookman Old Style" w:cs="Calibri"/>
        </w:rPr>
        <w:t>,n</w:t>
      </w:r>
      <w:r w:rsidRPr="00EA76BB">
        <w:rPr>
          <w:rFonts w:ascii="Bookman Old Style" w:hAnsi="Bookman Old Style" w:cs="Calibri"/>
        </w:rPr>
        <w:t xml:space="preserve">ë marrëveshjen e bashkëpunimit me ekspertët/lehtësuesit një nga detyrimet e tyre është </w:t>
      </w:r>
      <w:r>
        <w:rPr>
          <w:rFonts w:ascii="Bookman Old Style" w:hAnsi="Bookman Old Style" w:cs="Calibri"/>
        </w:rPr>
        <w:t>që ata:</w:t>
      </w:r>
    </w:p>
    <w:p w:rsidR="00CA7CDB" w:rsidRDefault="00CA7CDB" w:rsidP="003C4BF1">
      <w:pPr>
        <w:numPr>
          <w:ilvl w:val="1"/>
          <w:numId w:val="27"/>
        </w:numPr>
        <w:jc w:val="both"/>
        <w:rPr>
          <w:rFonts w:ascii="Bookman Old Style" w:hAnsi="Bookman Old Style" w:cs="Calibri"/>
        </w:rPr>
      </w:pPr>
      <w:r w:rsidRPr="00EA76BB">
        <w:rPr>
          <w:rFonts w:ascii="Bookman Old Style" w:hAnsi="Bookman Old Style"/>
        </w:rPr>
        <w:t xml:space="preserve">të punojnë në grup për çdo seminar dhe në bashkëpunim me njëri tjetrin dhe me asistencën e Shkollës së Magjistraturës të hartojnë programin/agjendën e trajnimit, të cilin do ta depozitojnë pranë Shkollës </w:t>
      </w:r>
      <w:r w:rsidRPr="00EA76BB">
        <w:rPr>
          <w:rFonts w:ascii="Bookman Old Style" w:hAnsi="Bookman Old Style"/>
          <w:b/>
          <w:i/>
          <w:u w:val="single"/>
        </w:rPr>
        <w:t>jo më vonë se 30 ditë përpara trajnimit</w:t>
      </w:r>
      <w:r>
        <w:rPr>
          <w:rFonts w:ascii="Bookman Old Style" w:hAnsi="Bookman Old Style"/>
          <w:b/>
          <w:i/>
          <w:u w:val="single"/>
        </w:rPr>
        <w:t>. Ky afati i lejon SHM të mbajë në kontroll procesin lidhur me standardet ndërkombëtare dhe fokusin në problematikën e nevojave</w:t>
      </w:r>
      <w:r w:rsidRPr="00EA76BB">
        <w:rPr>
          <w:rFonts w:ascii="Bookman Old Style" w:hAnsi="Bookman Old Style"/>
        </w:rPr>
        <w:t xml:space="preserve">; </w:t>
      </w:r>
    </w:p>
    <w:p w:rsidR="00CA7CDB" w:rsidRDefault="00CA7CDB" w:rsidP="003C4BF1">
      <w:pPr>
        <w:numPr>
          <w:ilvl w:val="1"/>
          <w:numId w:val="27"/>
        </w:numPr>
        <w:jc w:val="both"/>
        <w:rPr>
          <w:rFonts w:ascii="Bookman Old Style" w:hAnsi="Bookman Old Style" w:cs="Calibri"/>
        </w:rPr>
      </w:pPr>
      <w:r w:rsidRPr="00EA76BB">
        <w:rPr>
          <w:rFonts w:ascii="Bookman Old Style" w:hAnsi="Bookman Old Style"/>
        </w:rPr>
        <w:t xml:space="preserve">të depozitojnë pranë Shkollës së Magjistraturës temën e përgatitur në kopje fizike edhe elektronike, një listë me rubrikë pyetjesh për auditorin, një listë sintetike bibliografie (të asaj ku janë mbështetur dhe të asaj që sugjerohet për studime të mëtejshme), një listë kazusesh dhe vendimesh unifikuese të Gjykatës së Lartë, sipas rastit të Gjykatës Kushtetuese </w:t>
      </w:r>
      <w:r w:rsidRPr="00EA76BB">
        <w:rPr>
          <w:rFonts w:ascii="Bookman Old Style" w:hAnsi="Bookman Old Style"/>
          <w:b/>
        </w:rPr>
        <w:t>dhe vendime të gjykatave ndërkombëtare të rëndësishme për çështje si të GJEDNJ dhe të GJED</w:t>
      </w:r>
      <w:r w:rsidRPr="00EA76BB">
        <w:rPr>
          <w:rFonts w:ascii="Bookman Old Style" w:hAnsi="Bookman Old Style"/>
        </w:rPr>
        <w:t xml:space="preserve">, si dhe bazën ligjore që gjyqtarët dhe prokurorët duhet të disponojnë gjatë trajnimit; </w:t>
      </w:r>
    </w:p>
    <w:p w:rsidR="00CA7CDB" w:rsidRDefault="00CA7CDB" w:rsidP="003C4BF1">
      <w:pPr>
        <w:numPr>
          <w:ilvl w:val="1"/>
          <w:numId w:val="27"/>
        </w:numPr>
        <w:jc w:val="both"/>
        <w:rPr>
          <w:rFonts w:ascii="Bookman Old Style" w:hAnsi="Bookman Old Style" w:cs="Calibri"/>
        </w:rPr>
      </w:pPr>
      <w:r w:rsidRPr="00EA76BB">
        <w:rPr>
          <w:rFonts w:ascii="Bookman Old Style" w:hAnsi="Bookman Old Style"/>
          <w:bCs/>
        </w:rPr>
        <w:t xml:space="preserve">duhet të jenë të pranishëm në mënyrë të vazhdueshme gjatë të gjithë trajnimit; </w:t>
      </w:r>
      <w:r w:rsidRPr="00EA76BB">
        <w:rPr>
          <w:rFonts w:ascii="Bookman Old Style" w:hAnsi="Bookman Old Style"/>
        </w:rPr>
        <w:t xml:space="preserve">duhet të njoftojnë Shkollën e Magjistraturës për çdo pamundësi pjesëmarrjeje </w:t>
      </w:r>
      <w:r w:rsidRPr="00EA76BB">
        <w:rPr>
          <w:rFonts w:ascii="Bookman Old Style" w:hAnsi="Bookman Old Style"/>
          <w:b/>
        </w:rPr>
        <w:t>j</w:t>
      </w:r>
      <w:r w:rsidRPr="00EA76BB">
        <w:rPr>
          <w:rFonts w:ascii="Bookman Old Style" w:hAnsi="Bookman Old Style"/>
          <w:b/>
          <w:i/>
          <w:u w:val="single"/>
        </w:rPr>
        <w:t>o më vonë se 1 muaj nga dita e trajnimit</w:t>
      </w:r>
      <w:r w:rsidRPr="00EA76BB">
        <w:rPr>
          <w:rFonts w:ascii="Bookman Old Style" w:hAnsi="Bookman Old Style"/>
        </w:rPr>
        <w:t xml:space="preserve"> me përjashtim të rasteve të paparashikueshme. Në një rast të tillë ekspertët duhet të rekomandojnë ekspertin zëvendësues të mundshëm, duke pasur në konsideratë listën me emrat e miratuar nga Këshilli Drejtues, si dhe standardet e Shkollës së Magjistraturës dhe do vënë në dispozicion punën parapërgatitore; </w:t>
      </w:r>
    </w:p>
    <w:p w:rsidR="00CA7CDB" w:rsidRDefault="00CA7CDB" w:rsidP="003C4BF1">
      <w:pPr>
        <w:numPr>
          <w:ilvl w:val="1"/>
          <w:numId w:val="27"/>
        </w:numPr>
        <w:jc w:val="both"/>
        <w:rPr>
          <w:rFonts w:ascii="Bookman Old Style" w:hAnsi="Bookman Old Style" w:cs="Calibri"/>
        </w:rPr>
      </w:pPr>
      <w:r w:rsidRPr="00EA76BB">
        <w:rPr>
          <w:rFonts w:ascii="Bookman Old Style" w:hAnsi="Bookman Old Style"/>
        </w:rPr>
        <w:t xml:space="preserve">të mbajnë shënime gjatë aktivitetit trajnues lidhur me: Sugjerime dhe vërejtje të audiencës mbi tematikën aktuale dhe perspektive të trajnimit, ecurinë, metodologjinë e mësimdhënies të sugjeruar nga audienca dhe ata vetë. </w:t>
      </w:r>
    </w:p>
    <w:p w:rsidR="00CA7CDB" w:rsidRDefault="00CA7CDB" w:rsidP="003C4BF1">
      <w:pPr>
        <w:pStyle w:val="ListParagraph"/>
        <w:numPr>
          <w:ilvl w:val="1"/>
          <w:numId w:val="27"/>
        </w:numPr>
        <w:jc w:val="both"/>
        <w:rPr>
          <w:rFonts w:ascii="Bookman Old Style" w:hAnsi="Bookman Old Style"/>
        </w:rPr>
      </w:pPr>
      <w:r w:rsidRPr="00F91F65">
        <w:rPr>
          <w:rFonts w:ascii="Bookman Old Style" w:hAnsi="Bookman Old Style"/>
        </w:rPr>
        <w:t>Sugjerime</w:t>
      </w:r>
      <w:r>
        <w:rPr>
          <w:rFonts w:ascii="Bookman Old Style" w:hAnsi="Bookman Old Style"/>
        </w:rPr>
        <w:t>t</w:t>
      </w:r>
      <w:r w:rsidRPr="00F91F65">
        <w:rPr>
          <w:rFonts w:ascii="Bookman Old Style" w:hAnsi="Bookman Old Style"/>
        </w:rPr>
        <w:t xml:space="preserve"> për modifikime e ndryshime të legjislacion të dala nga seancat “diskutime dhe debat”</w:t>
      </w:r>
      <w:r>
        <w:rPr>
          <w:rFonts w:ascii="Bookman Old Style" w:hAnsi="Bookman Old Style"/>
        </w:rPr>
        <w:t xml:space="preserve"> depozitohen në SHM sipas rastit</w:t>
      </w:r>
      <w:r w:rsidRPr="00F91F65">
        <w:rPr>
          <w:rFonts w:ascii="Bookman Old Style" w:hAnsi="Bookman Old Style"/>
        </w:rPr>
        <w:t xml:space="preserve">; </w:t>
      </w:r>
    </w:p>
    <w:p w:rsidR="00CA7CDB" w:rsidRDefault="00CA7CDB" w:rsidP="003C4BF1">
      <w:pPr>
        <w:pStyle w:val="ListParagraph"/>
        <w:numPr>
          <w:ilvl w:val="1"/>
          <w:numId w:val="27"/>
        </w:numPr>
        <w:jc w:val="both"/>
        <w:rPr>
          <w:rFonts w:ascii="Bookman Old Style" w:hAnsi="Bookman Old Style"/>
        </w:rPr>
      </w:pPr>
      <w:r>
        <w:rPr>
          <w:rFonts w:ascii="Bookman Old Style" w:hAnsi="Bookman Old Style"/>
        </w:rPr>
        <w:lastRenderedPageBreak/>
        <w:t xml:space="preserve">Trajnuesit bëjnë një </w:t>
      </w:r>
      <w:r w:rsidRPr="00F91F65">
        <w:rPr>
          <w:rFonts w:ascii="Bookman Old Style" w:hAnsi="Bookman Old Style"/>
          <w:bCs/>
        </w:rPr>
        <w:t>vlerësim</w:t>
      </w:r>
      <w:r>
        <w:rPr>
          <w:rFonts w:ascii="Bookman Old Style" w:hAnsi="Bookman Old Style"/>
          <w:bCs/>
        </w:rPr>
        <w:t xml:space="preserve"> të </w:t>
      </w:r>
      <w:r w:rsidRPr="00F91F65">
        <w:rPr>
          <w:rFonts w:ascii="Bookman Old Style" w:hAnsi="Bookman Old Style"/>
          <w:bCs/>
        </w:rPr>
        <w:t xml:space="preserve">përgjithshëm të procesit </w:t>
      </w:r>
      <w:r w:rsidRPr="004E4725">
        <w:rPr>
          <w:rFonts w:ascii="Bookman Old Style" w:hAnsi="Bookman Old Style"/>
          <w:bCs/>
        </w:rPr>
        <w:t xml:space="preserve">të trajnuar, gjyqtarë apo prokurorë) ose nga trajneri përgjegjës, eksperti dhe specialisti i shkencave pedagogjike duhet të japë një rezultat në lidhje me standardet e kërkuara nga trajneri; pjesëmarrjen në seminare; aftësinë e pjesëmarrësve për t’u përqendruar brenda tematikës së seminarit. </w:t>
      </w:r>
      <w:r w:rsidRPr="004E4725">
        <w:rPr>
          <w:rFonts w:ascii="Bookman Old Style" w:hAnsi="Bookman Old Style"/>
        </w:rPr>
        <w:t xml:space="preserve">Të gjitha këto dhe të tjera që lidhen me formimin vazhdues do t’i paraqesin në një  “procesverbal” pranë Shkollës së Magjistraturës, </w:t>
      </w:r>
      <w:r w:rsidRPr="004E4725">
        <w:rPr>
          <w:rFonts w:ascii="Bookman Old Style" w:hAnsi="Bookman Old Style"/>
          <w:b/>
          <w:i/>
          <w:u w:val="single"/>
        </w:rPr>
        <w:t>jo më vonë se 2 javë pas trajnimit</w:t>
      </w:r>
      <w:r w:rsidRPr="004E4725">
        <w:rPr>
          <w:rFonts w:ascii="Bookman Old Style" w:hAnsi="Bookman Old Style"/>
        </w:rPr>
        <w:t>.</w:t>
      </w:r>
    </w:p>
    <w:p w:rsidR="00CA7CDB" w:rsidRDefault="00CA7CDB" w:rsidP="003C4BF1">
      <w:pPr>
        <w:pStyle w:val="ListParagraph"/>
        <w:numPr>
          <w:ilvl w:val="1"/>
          <w:numId w:val="27"/>
        </w:numPr>
        <w:jc w:val="both"/>
        <w:rPr>
          <w:rFonts w:ascii="Bookman Old Style" w:hAnsi="Bookman Old Style"/>
        </w:rPr>
      </w:pPr>
      <w:r>
        <w:rPr>
          <w:rFonts w:ascii="Bookman Old Style" w:hAnsi="Bookman Old Style"/>
        </w:rPr>
        <w:t xml:space="preserve">Pjesëmarrësit bëjnë një vlerësim </w:t>
      </w:r>
      <w:r>
        <w:rPr>
          <w:rFonts w:ascii="Bookman Old Style" w:hAnsi="Bookman Old Style"/>
          <w:bCs/>
        </w:rPr>
        <w:t>të</w:t>
      </w:r>
      <w:r w:rsidRPr="00F91F65">
        <w:rPr>
          <w:rFonts w:ascii="Bookman Old Style" w:hAnsi="Bookman Old Style"/>
          <w:bCs/>
        </w:rPr>
        <w:t xml:space="preserve"> seminarit</w:t>
      </w:r>
      <w:r>
        <w:rPr>
          <w:rFonts w:ascii="Bookman Old Style" w:hAnsi="Bookman Old Style"/>
          <w:bCs/>
        </w:rPr>
        <w:t>.</w:t>
      </w:r>
    </w:p>
    <w:p w:rsidR="00CA7CDB" w:rsidRDefault="00CA7CDB" w:rsidP="00CA7CDB">
      <w:pPr>
        <w:jc w:val="both"/>
        <w:rPr>
          <w:rFonts w:ascii="Bookman Old Style" w:hAnsi="Bookman Old Style"/>
          <w:bCs/>
        </w:rPr>
      </w:pPr>
      <w:r w:rsidRPr="00F91F65">
        <w:rPr>
          <w:rFonts w:ascii="Bookman Old Style" w:hAnsi="Bookman Old Style"/>
          <w:b/>
          <w:bCs/>
        </w:rPr>
        <w:t>Lidhur me metodologjinë e trajnimit</w:t>
      </w:r>
      <w:r>
        <w:rPr>
          <w:rFonts w:ascii="Bookman Old Style" w:hAnsi="Bookman Old Style"/>
          <w:bCs/>
        </w:rPr>
        <w:t>:</w:t>
      </w:r>
    </w:p>
    <w:p w:rsidR="00CA7CDB" w:rsidRDefault="00CA7CDB" w:rsidP="00CA7CDB">
      <w:pPr>
        <w:jc w:val="both"/>
        <w:rPr>
          <w:rFonts w:ascii="Bookman Old Style" w:hAnsi="Bookman Old Style"/>
          <w:bCs/>
        </w:rPr>
      </w:pPr>
      <w:r>
        <w:rPr>
          <w:rFonts w:ascii="Bookman Old Style" w:hAnsi="Bookman Old Style"/>
          <w:bCs/>
        </w:rPr>
        <w:t>T</w:t>
      </w:r>
      <w:r w:rsidRPr="00EA76BB">
        <w:rPr>
          <w:rFonts w:ascii="Bookman Old Style" w:hAnsi="Bookman Old Style"/>
          <w:bCs/>
        </w:rPr>
        <w:t xml:space="preserve">rajnerët/moderatorët/lehtësuesit e formimit vazhdues </w:t>
      </w:r>
      <w:r>
        <w:rPr>
          <w:rFonts w:ascii="Bookman Old Style" w:hAnsi="Bookman Old Style"/>
          <w:bCs/>
        </w:rPr>
        <w:t>përmes sesioneve të trajnimit të trajnerëve janë instruktuar që</w:t>
      </w:r>
      <w:r w:rsidRPr="00EA76BB">
        <w:rPr>
          <w:rFonts w:ascii="Bookman Old Style" w:hAnsi="Bookman Old Style"/>
          <w:bCs/>
        </w:rPr>
        <w:t xml:space="preserve">: </w:t>
      </w:r>
    </w:p>
    <w:p w:rsidR="00CA7CDB" w:rsidRDefault="00CA7CDB" w:rsidP="003C4BF1">
      <w:pPr>
        <w:pStyle w:val="ListParagraph"/>
        <w:numPr>
          <w:ilvl w:val="0"/>
          <w:numId w:val="28"/>
        </w:numPr>
        <w:jc w:val="both"/>
        <w:rPr>
          <w:rFonts w:ascii="Bookman Old Style" w:hAnsi="Bookman Old Style"/>
        </w:rPr>
      </w:pPr>
      <w:r w:rsidRPr="00F91F65">
        <w:rPr>
          <w:rFonts w:ascii="Bookman Old Style" w:hAnsi="Bookman Old Style"/>
          <w:bCs/>
        </w:rPr>
        <w:t xml:space="preserve">të zhvillojnë një metodë interaktive trajnimi ku auditori do të trajtohet si partner; të bëjnë përpjekje për të ruajtur një ekuilibër mes trajtimit teorik dhe praktik të çështjeve objekt diskutimi ku prioritet të kenë aspektet praktike; </w:t>
      </w:r>
    </w:p>
    <w:p w:rsidR="00CA7CDB" w:rsidRDefault="00CA7CDB" w:rsidP="003C4BF1">
      <w:pPr>
        <w:pStyle w:val="ListParagraph"/>
        <w:numPr>
          <w:ilvl w:val="0"/>
          <w:numId w:val="28"/>
        </w:numPr>
        <w:jc w:val="both"/>
        <w:rPr>
          <w:rFonts w:ascii="Bookman Old Style" w:hAnsi="Bookman Old Style"/>
        </w:rPr>
      </w:pPr>
      <w:r w:rsidRPr="00F91F65">
        <w:rPr>
          <w:rFonts w:ascii="Bookman Old Style" w:hAnsi="Bookman Old Style"/>
          <w:bCs/>
        </w:rPr>
        <w:t>të kujdesen për ndërhyrje konstruktive, të shpërndara dhe jo dominuese, duke i lënë hapësirë të bollshme diskutimeve nga pjesëmarrësit;</w:t>
      </w:r>
    </w:p>
    <w:p w:rsidR="00CA7CDB" w:rsidRDefault="00CA7CDB" w:rsidP="003C4BF1">
      <w:pPr>
        <w:pStyle w:val="ListParagraph"/>
        <w:numPr>
          <w:ilvl w:val="0"/>
          <w:numId w:val="28"/>
        </w:numPr>
        <w:jc w:val="both"/>
        <w:rPr>
          <w:rFonts w:ascii="Bookman Old Style" w:hAnsi="Bookman Old Style"/>
        </w:rPr>
      </w:pPr>
      <w:r w:rsidRPr="00F91F65">
        <w:rPr>
          <w:rFonts w:ascii="Bookman Old Style" w:hAnsi="Bookman Old Style"/>
        </w:rPr>
        <w:t>të kenë aftësinë për t</w:t>
      </w:r>
      <w:r w:rsidRPr="00F91F65">
        <w:rPr>
          <w:rFonts w:ascii="Bookman Old Style" w:hAnsi="Bookman Old Style"/>
          <w:bCs/>
        </w:rPr>
        <w:t xml:space="preserve">ë kombinuar disa metoda të mësimdhënies (prezantimi verbal, prezantim me shkrim, puna në grup, pyetjet, përdorimin e mjeteve audiovizive etj.); </w:t>
      </w:r>
    </w:p>
    <w:p w:rsidR="00CA7CDB" w:rsidRDefault="00CA7CDB" w:rsidP="003C4BF1">
      <w:pPr>
        <w:pStyle w:val="ListParagraph"/>
        <w:numPr>
          <w:ilvl w:val="0"/>
          <w:numId w:val="28"/>
        </w:numPr>
        <w:jc w:val="both"/>
        <w:rPr>
          <w:rFonts w:ascii="Bookman Old Style" w:hAnsi="Bookman Old Style"/>
        </w:rPr>
      </w:pPr>
      <w:r w:rsidRPr="00F91F65">
        <w:rPr>
          <w:rFonts w:ascii="Bookman Old Style" w:hAnsi="Bookman Old Style"/>
          <w:bCs/>
        </w:rPr>
        <w:t>të kenë aftësi për të prezantuar materialin e seminarit pa ndonjë mbështetje dokumentare</w:t>
      </w:r>
      <w:r w:rsidRPr="00F91F65">
        <w:rPr>
          <w:rFonts w:ascii="Bookman Old Style" w:hAnsi="Bookman Old Style"/>
        </w:rPr>
        <w:t xml:space="preserve"> dhe për të p</w:t>
      </w:r>
      <w:r w:rsidRPr="00F91F65">
        <w:rPr>
          <w:rFonts w:ascii="Bookman Old Style" w:hAnsi="Bookman Old Style"/>
          <w:bCs/>
        </w:rPr>
        <w:t>ërgatitur materialet burimore të mësimdhënies të nevojshme për seminarin, mbështetjen e aspekteve teorike dhe praktike, për të vëzhguar nivelin e duhur të ndërveprimit dhe mbështetjen e metodave të mësimdhënies, qëllimit dhe tematikës së prezantimeve dhe për të qëndruar brenda kohës së përcaktuar për një prezantim;</w:t>
      </w:r>
    </w:p>
    <w:p w:rsidR="00CA7CDB" w:rsidRDefault="00CA7CDB" w:rsidP="003C4BF1">
      <w:pPr>
        <w:pStyle w:val="ListParagraph"/>
        <w:numPr>
          <w:ilvl w:val="0"/>
          <w:numId w:val="28"/>
        </w:numPr>
        <w:jc w:val="both"/>
        <w:rPr>
          <w:rFonts w:ascii="Bookman Old Style" w:hAnsi="Bookman Old Style"/>
        </w:rPr>
      </w:pPr>
      <w:r w:rsidRPr="00F91F65">
        <w:rPr>
          <w:rFonts w:ascii="Bookman Old Style" w:hAnsi="Bookman Old Style"/>
          <w:bCs/>
        </w:rPr>
        <w:t>të bashkëpunojnë me trajnerët e tjerë që janë të përfshirë në të njëjtin seminar apo tematikë.</w:t>
      </w:r>
    </w:p>
    <w:p w:rsidR="00CA7CDB" w:rsidRPr="00F77467" w:rsidRDefault="00CA7CDB" w:rsidP="00CA7CDB">
      <w:pPr>
        <w:jc w:val="both"/>
        <w:rPr>
          <w:rFonts w:ascii="Bookman Old Style" w:hAnsi="Bookman Old Style" w:cs="Calibri"/>
          <w:b/>
        </w:rPr>
      </w:pPr>
      <w:r w:rsidRPr="00F77467">
        <w:rPr>
          <w:rFonts w:ascii="Bookman Old Style" w:hAnsi="Bookman Old Style" w:cs="Calibri"/>
          <w:b/>
        </w:rPr>
        <w:t>KLD</w:t>
      </w:r>
      <w:r>
        <w:rPr>
          <w:rFonts w:ascii="Bookman Old Style" w:hAnsi="Bookman Old Style" w:cs="Calibri"/>
          <w:b/>
        </w:rPr>
        <w:t>ë</w:t>
      </w:r>
      <w:r w:rsidRPr="00F91F65">
        <w:rPr>
          <w:rFonts w:ascii="Bookman Old Style" w:hAnsi="Bookman Old Style" w:cs="Calibri"/>
          <w:b/>
        </w:rPr>
        <w:t>sht</w:t>
      </w:r>
      <w:r>
        <w:rPr>
          <w:rFonts w:ascii="Bookman Old Style" w:hAnsi="Bookman Old Style" w:cs="Calibri"/>
          <w:b/>
        </w:rPr>
        <w:t>ë</w:t>
      </w:r>
      <w:r w:rsidRPr="00F91F65">
        <w:rPr>
          <w:rFonts w:ascii="Bookman Old Style" w:hAnsi="Bookman Old Style" w:cs="Calibri"/>
          <w:b/>
        </w:rPr>
        <w:t xml:space="preserve"> e mir</w:t>
      </w:r>
      <w:r>
        <w:rPr>
          <w:rFonts w:ascii="Bookman Old Style" w:hAnsi="Bookman Old Style" w:cs="Calibri"/>
          <w:b/>
        </w:rPr>
        <w:t>ë</w:t>
      </w:r>
      <w:r w:rsidRPr="00F91F65">
        <w:rPr>
          <w:rFonts w:ascii="Bookman Old Style" w:hAnsi="Bookman Old Style" w:cs="Calibri"/>
          <w:b/>
        </w:rPr>
        <w:t>pritur q</w:t>
      </w:r>
      <w:r>
        <w:rPr>
          <w:rFonts w:ascii="Bookman Old Style" w:hAnsi="Bookman Old Style" w:cs="Calibri"/>
          <w:b/>
        </w:rPr>
        <w:t>ë</w:t>
      </w:r>
      <w:r w:rsidRPr="00F91F65">
        <w:rPr>
          <w:rFonts w:ascii="Bookman Old Style" w:hAnsi="Bookman Old Style" w:cs="Calibri"/>
          <w:b/>
        </w:rPr>
        <w:t xml:space="preserve"> t</w:t>
      </w:r>
      <w:r>
        <w:rPr>
          <w:rFonts w:ascii="Bookman Old Style" w:hAnsi="Bookman Old Style" w:cs="Calibri"/>
          <w:b/>
        </w:rPr>
        <w:t>ë</w:t>
      </w:r>
      <w:r w:rsidRPr="00F91F65">
        <w:rPr>
          <w:rFonts w:ascii="Bookman Old Style" w:hAnsi="Bookman Old Style" w:cs="Calibri"/>
          <w:b/>
        </w:rPr>
        <w:t xml:space="preserve"> b</w:t>
      </w:r>
      <w:r>
        <w:rPr>
          <w:rFonts w:ascii="Bookman Old Style" w:hAnsi="Bookman Old Style" w:cs="Calibri"/>
          <w:b/>
        </w:rPr>
        <w:t>ë</w:t>
      </w:r>
      <w:r w:rsidRPr="00F91F65">
        <w:rPr>
          <w:rFonts w:ascii="Bookman Old Style" w:hAnsi="Bookman Old Style" w:cs="Calibri"/>
          <w:b/>
        </w:rPr>
        <w:t>j</w:t>
      </w:r>
      <w:r>
        <w:rPr>
          <w:rFonts w:ascii="Bookman Old Style" w:hAnsi="Bookman Old Style" w:cs="Calibri"/>
          <w:b/>
        </w:rPr>
        <w:t>ë</w:t>
      </w:r>
      <w:r w:rsidRPr="00F91F65">
        <w:rPr>
          <w:rFonts w:ascii="Bookman Old Style" w:hAnsi="Bookman Old Style" w:cs="Calibri"/>
          <w:b/>
        </w:rPr>
        <w:t xml:space="preserve"> sugjerime konkrete p</w:t>
      </w:r>
      <w:r>
        <w:rPr>
          <w:rFonts w:ascii="Bookman Old Style" w:hAnsi="Bookman Old Style" w:cs="Calibri"/>
          <w:b/>
        </w:rPr>
        <w:t>ë</w:t>
      </w:r>
      <w:r w:rsidRPr="00F91F65">
        <w:rPr>
          <w:rFonts w:ascii="Bookman Old Style" w:hAnsi="Bookman Old Style" w:cs="Calibri"/>
          <w:b/>
        </w:rPr>
        <w:t>r cdo p</w:t>
      </w:r>
      <w:r>
        <w:rPr>
          <w:rFonts w:ascii="Bookman Old Style" w:hAnsi="Bookman Old Style" w:cs="Calibri"/>
          <w:b/>
        </w:rPr>
        <w:t>ë</w:t>
      </w:r>
      <w:r w:rsidRPr="00F91F65">
        <w:rPr>
          <w:rFonts w:ascii="Bookman Old Style" w:hAnsi="Bookman Old Style" w:cs="Calibri"/>
          <w:b/>
        </w:rPr>
        <w:t>rmir</w:t>
      </w:r>
      <w:r>
        <w:rPr>
          <w:rFonts w:ascii="Bookman Old Style" w:hAnsi="Bookman Old Style" w:cs="Calibri"/>
          <w:b/>
        </w:rPr>
        <w:t>ë</w:t>
      </w:r>
      <w:r w:rsidRPr="00F91F65">
        <w:rPr>
          <w:rFonts w:ascii="Bookman Old Style" w:hAnsi="Bookman Old Style" w:cs="Calibri"/>
          <w:b/>
        </w:rPr>
        <w:t>sim q</w:t>
      </w:r>
      <w:r>
        <w:rPr>
          <w:rFonts w:ascii="Bookman Old Style" w:hAnsi="Bookman Old Style" w:cs="Calibri"/>
          <w:b/>
        </w:rPr>
        <w:t>ë</w:t>
      </w:r>
      <w:r w:rsidRPr="00F91F65">
        <w:rPr>
          <w:rFonts w:ascii="Bookman Old Style" w:hAnsi="Bookman Old Style" w:cs="Calibri"/>
          <w:b/>
        </w:rPr>
        <w:t xml:space="preserve"> nuk gjendet i pasqyruar si n</w:t>
      </w:r>
      <w:r>
        <w:rPr>
          <w:rFonts w:ascii="Bookman Old Style" w:hAnsi="Bookman Old Style" w:cs="Calibri"/>
          <w:b/>
        </w:rPr>
        <w:t>ë</w:t>
      </w:r>
      <w:r w:rsidRPr="00F91F65">
        <w:rPr>
          <w:rFonts w:ascii="Bookman Old Style" w:hAnsi="Bookman Old Style" w:cs="Calibri"/>
          <w:b/>
        </w:rPr>
        <w:t xml:space="preserve"> procesin e vler</w:t>
      </w:r>
      <w:r>
        <w:rPr>
          <w:rFonts w:ascii="Bookman Old Style" w:hAnsi="Bookman Old Style" w:cs="Calibri"/>
          <w:b/>
        </w:rPr>
        <w:t>ë</w:t>
      </w:r>
      <w:r w:rsidRPr="00F91F65">
        <w:rPr>
          <w:rFonts w:ascii="Bookman Old Style" w:hAnsi="Bookman Old Style" w:cs="Calibri"/>
          <w:b/>
        </w:rPr>
        <w:t>simit t</w:t>
      </w:r>
      <w:r>
        <w:rPr>
          <w:rFonts w:ascii="Bookman Old Style" w:hAnsi="Bookman Old Style" w:cs="Calibri"/>
          <w:b/>
        </w:rPr>
        <w:t>ë</w:t>
      </w:r>
      <w:r w:rsidRPr="00F91F65">
        <w:rPr>
          <w:rFonts w:ascii="Bookman Old Style" w:hAnsi="Bookman Old Style" w:cs="Calibri"/>
          <w:b/>
        </w:rPr>
        <w:t xml:space="preserve"> nevojave, p</w:t>
      </w:r>
      <w:r>
        <w:rPr>
          <w:rFonts w:ascii="Bookman Old Style" w:hAnsi="Bookman Old Style" w:cs="Calibri"/>
          <w:b/>
        </w:rPr>
        <w:t>ë</w:t>
      </w:r>
      <w:r w:rsidRPr="00F91F65">
        <w:rPr>
          <w:rFonts w:ascii="Bookman Old Style" w:hAnsi="Bookman Old Style" w:cs="Calibri"/>
          <w:b/>
        </w:rPr>
        <w:t>rzgjedhjes s</w:t>
      </w:r>
      <w:r>
        <w:rPr>
          <w:rFonts w:ascii="Bookman Old Style" w:hAnsi="Bookman Old Style" w:cs="Calibri"/>
          <w:b/>
        </w:rPr>
        <w:t>ë</w:t>
      </w:r>
      <w:r w:rsidRPr="00F91F65">
        <w:rPr>
          <w:rFonts w:ascii="Bookman Old Style" w:hAnsi="Bookman Old Style" w:cs="Calibri"/>
          <w:b/>
        </w:rPr>
        <w:t xml:space="preserve"> ekspert</w:t>
      </w:r>
      <w:r>
        <w:rPr>
          <w:rFonts w:ascii="Bookman Old Style" w:hAnsi="Bookman Old Style" w:cs="Calibri"/>
          <w:b/>
        </w:rPr>
        <w:t>ë</w:t>
      </w:r>
      <w:r w:rsidRPr="00F91F65">
        <w:rPr>
          <w:rFonts w:ascii="Bookman Old Style" w:hAnsi="Bookman Old Style" w:cs="Calibri"/>
          <w:b/>
        </w:rPr>
        <w:t>ve/leht</w:t>
      </w:r>
      <w:r>
        <w:rPr>
          <w:rFonts w:ascii="Bookman Old Style" w:hAnsi="Bookman Old Style" w:cs="Calibri"/>
          <w:b/>
        </w:rPr>
        <w:t>ë</w:t>
      </w:r>
      <w:r w:rsidRPr="00F91F65">
        <w:rPr>
          <w:rFonts w:ascii="Bookman Old Style" w:hAnsi="Bookman Old Style" w:cs="Calibri"/>
          <w:b/>
        </w:rPr>
        <w:t>suesve, marr</w:t>
      </w:r>
      <w:r>
        <w:rPr>
          <w:rFonts w:ascii="Bookman Old Style" w:hAnsi="Bookman Old Style" w:cs="Calibri"/>
          <w:b/>
        </w:rPr>
        <w:t>ë</w:t>
      </w:r>
      <w:r w:rsidRPr="00F91F65">
        <w:rPr>
          <w:rFonts w:ascii="Bookman Old Style" w:hAnsi="Bookman Old Style" w:cs="Calibri"/>
          <w:b/>
        </w:rPr>
        <w:t>veshjes e metodologjis</w:t>
      </w:r>
      <w:r>
        <w:rPr>
          <w:rFonts w:ascii="Bookman Old Style" w:hAnsi="Bookman Old Style" w:cs="Calibri"/>
          <w:b/>
        </w:rPr>
        <w:t>ë</w:t>
      </w:r>
      <w:r w:rsidRPr="00F91F65">
        <w:rPr>
          <w:rFonts w:ascii="Bookman Old Style" w:hAnsi="Bookman Old Style" w:cs="Calibri"/>
          <w:b/>
        </w:rPr>
        <w:t xml:space="preserve"> etj.</w:t>
      </w:r>
    </w:p>
    <w:p w:rsidR="00CA7CDB" w:rsidRPr="005A2325" w:rsidRDefault="00CA7CDB" w:rsidP="00CA7CDB">
      <w:pPr>
        <w:jc w:val="both"/>
        <w:rPr>
          <w:rFonts w:ascii="Bookman Old Style" w:hAnsi="Bookman Old Style"/>
        </w:rPr>
      </w:pPr>
      <w:r w:rsidRPr="00EA76BB">
        <w:rPr>
          <w:rFonts w:ascii="Bookman Old Style" w:hAnsi="Bookman Old Style" w:cs="Calibri"/>
        </w:rPr>
        <w:t xml:space="preserve">Kalendari </w:t>
      </w:r>
      <w:r>
        <w:rPr>
          <w:rFonts w:ascii="Bookman Old Style" w:hAnsi="Bookman Old Style" w:cs="Calibri"/>
        </w:rPr>
        <w:t>TV</w:t>
      </w:r>
      <w:r w:rsidRPr="00EA76BB">
        <w:rPr>
          <w:rFonts w:ascii="Bookman Old Style" w:hAnsi="Bookman Old Style" w:cs="Calibri"/>
        </w:rPr>
        <w:t xml:space="preserve"> gjatë viti</w:t>
      </w:r>
      <w:r>
        <w:rPr>
          <w:rFonts w:ascii="Bookman Old Style" w:hAnsi="Bookman Old Style" w:cs="Calibri"/>
        </w:rPr>
        <w:t>t akademik 2015-16</w:t>
      </w:r>
      <w:r w:rsidRPr="00EA76BB">
        <w:rPr>
          <w:rFonts w:ascii="Bookman Old Style" w:hAnsi="Bookman Old Style" w:cs="Calibri"/>
        </w:rPr>
        <w:t xml:space="preserve"> është pasuruar me detajime apo tema të reja të rëndësishme ku krahas problematikës vendase është parë në mënyrë krahasimore edhe jurisprudenca e vendeve të tjera të tilla si: </w:t>
      </w:r>
      <w:r w:rsidRPr="00EA76BB">
        <w:rPr>
          <w:rFonts w:ascii="Bookman Old Style" w:hAnsi="Bookman Old Style"/>
          <w:bCs/>
          <w:color w:val="000000"/>
          <w:shd w:val="clear" w:color="auto" w:fill="FFFFFF"/>
        </w:rPr>
        <w:t xml:space="preserve">Kodi Administrativ; Hetimi i krimit financiar në rastet e trafikimit të qenieve njerëzore; Vendet e parajsës fiskale: karakteristikat dhe instrumentet ndërkombëtare për gjurmimin e evazionit fiskal; Drejtësia restauruese dhe ndërmjetësimit viktimë-kundërvuajtës për të miturit; Asistencë për mbrojtjen më të mirë në lidhje me Neni 10 (Liria e shprehjes) të KEDNJ, përmes zbatimit të standardeve të Gjykatës </w:t>
      </w:r>
      <w:r w:rsidRPr="00EA76BB">
        <w:rPr>
          <w:rFonts w:ascii="Bookman Old Style" w:hAnsi="Bookman Old Style"/>
          <w:bCs/>
          <w:color w:val="000000"/>
          <w:shd w:val="clear" w:color="auto" w:fill="FFFFFF"/>
        </w:rPr>
        <w:lastRenderedPageBreak/>
        <w:t xml:space="preserve">Evropiane të të Drejtave të Njeriut; Zhvillime të legjislacionit të prokurimeve publike dhe fiskal, në këndvështrimin e gjykimeve administrative; Konfiskimi i aseteve në kuadër të ligjit antimafia; Risitë procedurale në gjykimet administrative; Zhvillime të legjislacionit fiskal, në këndvështrimin e gjykimeve administrative; Teknikat e ngritjes së akuzës; Ekzekutimi i vendimeve gjyqësore të formës së prerë; Dënimet alternative dhe shërbimi i provës; Efektet e vendimmarrjes së Gjykatës Kushtetuese për vendimmarrjen e gjykatave të zakonshme; Krimi kibernetik; Roli i sistemit të drejtësisë në mbrojtjen dhe promovimin e standardeve të barazisë dhe mosdiskriminimit gjinor; Bashkëpunimi ndërkombëtar në çështjet penale; Vlerësimi i interesit më të lartë të fëmijës në çështjet me elementë të huaj; Mbrojtja në gjykatë e grave viktima/të mbijetuara të dhunës në familje. Konventa e Këshillit të Evropës për Parandalimin dhe Luftimin e Dhunës ndaj Grave dhe Dhunës në Familje (Konventa e Stambollit); Instituti juridik res iudicata, kuptimi material dhe procedural, dimensionet kushtetuese, konventore dhe ligjore; Ligji evropian. Konkurrenca; E drejta administrative në kontekstin ndërkombëtar; Refleksione rreth praktikës gjyqësore në lidhje me institutin e bashkëpunimit në veprën penale dhe problematikat e krijuara pas daljes së Vendimit Unifikues Nr.4, datë  15.04.2011, të Kolegjeve të Bashkuara të Gjykatës së Lartë; Pavlefshmëria dhe mospërdorimi i provave atipike në një procedim penal; Shkeljet e Pronësisë Intelektuale në Internet, si dhe veprat në vende publike; Veprat penale në fushën e tatimeve; Etika gjyqësore, parimet, respektimi i solemnitetit në drejtim të etikës gjyqësore; Roli i gjyqtarit kombëtar dhe zbatimin e Legjislacionit të BE-së; Gjykimi në mungesë në procesin civil; Administrimi modern i Gjykatave; E drejta e internetit. Çështje rregullatore dhe tregtare; Pavlefshmëria e themelimit të shoqërive tregtare; Shkrimi ligjor dhe arsyetimi i vendimeve gjyqësore, elementët e tij sipas dispozitave procedurale dhe material; Të drejtat e njeriut; Juridiksioni kushtetues vs. Juridiksionit gjyqësor administrative; Etika dhe komunikimi në seancat gjyqësore dhe sjellja me palët; Kontrabanda. Zgjidhja administrative e kontrabandës; Kuptimi dhe zbatimi i drejtë i nenit 3 të KEDNJ dhe legjislacionit të brendshëm në këtë fushë; Prezantimi i modelit kroat i Zyrës së Prokurorisë për shtypjen e korrupsionit dhe krimin e organizuar, kontrolli i sigurisë për gjyqtarët dhe prokurorët; Mbrojtja e të dhënave personale, me fokus të veçantë mbrojtjen e të dhënave sensitive që publikohen në vendimet gjyqësore; Pozita e viktimës në proces penal. Ndihma Juridike; Nënshkrimi elektronik; Institute të së drejtës procedurale administrative sipas Kodit të ri të Procedurave Administrative; Teknikat e hetimit pro-aktiv, teknikat për hetimin e trafikut të drogës; Kuptimi kushtetues dhe ligjor i parashikimit të detyrueshmërisë për nisjen e procesit penal (regjistrimin e veprave penale) dhe shkalla e ndikimit të tij në ushtrimin e ndjekjes penale; Barra e provës në çështjet e konkurrencës, procedurat para gjykatës; Gjyqësori dhe media; Falimenti; Mbrojtja e viktimave, në fokusin e padisë civile në procesin penal; Vlerësimi profesional dhe etik i gjyqtarëve (të dhëna bazë mbi procedurën dhe kriteret, si dhe përqasja me standardet dhe praktikat e mira evropiane); Roli i </w:t>
      </w:r>
      <w:r w:rsidRPr="005A2325">
        <w:rPr>
          <w:rFonts w:ascii="Bookman Old Style" w:hAnsi="Bookman Old Style"/>
          <w:bCs/>
          <w:color w:val="000000"/>
          <w:shd w:val="clear" w:color="auto" w:fill="FFFFFF"/>
        </w:rPr>
        <w:t xml:space="preserve">Avokatit të Shtetit në procesin gjyqësor, ndarja e kompetencave midis Avokaturës së Shtetit dhe institucioneve publike; E drejta e azilit; Procedimi disiplinor i gjyqtarëve (të dhëna bazë mbi procedurën dhe kriteret, si dhe përqasja me standardet dhe praktikat e mira evropiane, nisur edhe nga ndryshimet e fundit te legjislacionit); Trajnime mbi acquis communautaire për pjesë të reja të legjislacionit shqiptar që kanë përqasur  Acquis Communautaire; Rregullimi ligjor i marrëdhënieve të punës dhe problemet që ndeshen në praktikën gjyqësore; Zbatueshmëria e parimit kushtetues të së drejtës për të mos u </w:t>
      </w:r>
      <w:r w:rsidRPr="005A2325">
        <w:rPr>
          <w:rFonts w:ascii="Bookman Old Style" w:hAnsi="Bookman Old Style"/>
          <w:bCs/>
          <w:color w:val="000000"/>
          <w:shd w:val="clear" w:color="auto" w:fill="FFFFFF"/>
        </w:rPr>
        <w:lastRenderedPageBreak/>
        <w:t>gjykuar dy herë (ne bis in idem) në këndvështrimin e KEDNJ (neni 4 i Protokollit nr.7); Veprat penale që prekin zgjedhjet e lira dhe sist</w:t>
      </w:r>
      <w:r>
        <w:rPr>
          <w:rFonts w:ascii="Bookman Old Style" w:hAnsi="Bookman Old Style"/>
          <w:bCs/>
          <w:color w:val="000000"/>
          <w:shd w:val="clear" w:color="auto" w:fill="FFFFFF"/>
        </w:rPr>
        <w:t xml:space="preserve">emin demokratik të zgjedhjeve; </w:t>
      </w:r>
      <w:r w:rsidRPr="005A2325">
        <w:rPr>
          <w:rFonts w:ascii="Bookman Old Style" w:hAnsi="Bookman Old Style"/>
          <w:bCs/>
          <w:color w:val="000000"/>
          <w:shd w:val="clear" w:color="auto" w:fill="FFFFFF"/>
        </w:rPr>
        <w:t>Vendi dhe roli i jurisprudencës s</w:t>
      </w:r>
      <w:r>
        <w:rPr>
          <w:rFonts w:ascii="Bookman Old Style" w:hAnsi="Bookman Old Style"/>
          <w:bCs/>
          <w:color w:val="000000"/>
          <w:shd w:val="clear" w:color="auto" w:fill="FFFFFF"/>
        </w:rPr>
        <w:t>ë</w:t>
      </w:r>
      <w:r w:rsidRPr="005A2325">
        <w:rPr>
          <w:rFonts w:ascii="Bookman Old Style" w:hAnsi="Bookman Old Style"/>
          <w:bCs/>
          <w:color w:val="000000"/>
          <w:shd w:val="clear" w:color="auto" w:fill="FFFFFF"/>
        </w:rPr>
        <w:t xml:space="preserve"> GJEDNJ-s</w:t>
      </w:r>
      <w:r>
        <w:rPr>
          <w:rFonts w:ascii="Bookman Old Style" w:hAnsi="Bookman Old Style"/>
          <w:bCs/>
          <w:color w:val="000000"/>
          <w:shd w:val="clear" w:color="auto" w:fill="FFFFFF"/>
        </w:rPr>
        <w:t>ë</w:t>
      </w:r>
      <w:r w:rsidRPr="005A2325">
        <w:rPr>
          <w:rFonts w:ascii="Bookman Old Style" w:hAnsi="Bookman Old Style"/>
          <w:bCs/>
          <w:color w:val="000000"/>
          <w:shd w:val="clear" w:color="auto" w:fill="FFFFFF"/>
        </w:rPr>
        <w:t xml:space="preserve"> n</w:t>
      </w:r>
      <w:r>
        <w:rPr>
          <w:rFonts w:ascii="Bookman Old Style" w:hAnsi="Bookman Old Style"/>
          <w:bCs/>
          <w:color w:val="000000"/>
          <w:shd w:val="clear" w:color="auto" w:fill="FFFFFF"/>
        </w:rPr>
        <w:t>ë</w:t>
      </w:r>
      <w:r w:rsidRPr="005A2325">
        <w:rPr>
          <w:rFonts w:ascii="Bookman Old Style" w:hAnsi="Bookman Old Style"/>
          <w:bCs/>
          <w:color w:val="000000"/>
          <w:shd w:val="clear" w:color="auto" w:fill="FFFFFF"/>
        </w:rPr>
        <w:t xml:space="preserve"> Strasburg dhe Gjykatës Evropiane te Drejtësisë ne Luksemburg ne zhvillimin e sistemit ligjor ne Shqipëri; Rëndësia e interpretimit nëpërmjet jurisprudencës në drejtim të garantimit të sigurisë juridike, si element i procesit të rregullt ligjor në kuptim të nenit 6 të KEDNJ-së dhe nenit 42 të Kushtetutës; Gjobat në çështjet e mos</w:t>
      </w:r>
      <w:r>
        <w:rPr>
          <w:rFonts w:ascii="Bookman Old Style" w:hAnsi="Bookman Old Style"/>
          <w:bCs/>
          <w:color w:val="000000"/>
          <w:shd w:val="clear" w:color="auto" w:fill="FFFFFF"/>
        </w:rPr>
        <w:t>-</w:t>
      </w:r>
      <w:r w:rsidRPr="005A2325">
        <w:rPr>
          <w:rFonts w:ascii="Bookman Old Style" w:hAnsi="Bookman Old Style"/>
          <w:bCs/>
          <w:color w:val="000000"/>
          <w:shd w:val="clear" w:color="auto" w:fill="FFFFFF"/>
        </w:rPr>
        <w:t xml:space="preserve">konkurrencës, shqyrtimi gjyqësor i gjobave. </w:t>
      </w:r>
    </w:p>
    <w:p w:rsidR="00CA7CDB" w:rsidRPr="005A2325" w:rsidRDefault="00CA7CDB" w:rsidP="00CA7CDB">
      <w:pPr>
        <w:jc w:val="both"/>
        <w:rPr>
          <w:rFonts w:ascii="Bookman Old Style" w:hAnsi="Bookman Old Style" w:cs="Calibri"/>
        </w:rPr>
      </w:pPr>
      <w:r w:rsidRPr="005A2325">
        <w:rPr>
          <w:rFonts w:ascii="Bookman Old Style" w:hAnsi="Bookman Old Style" w:cs="Calibri"/>
        </w:rPr>
        <w:t xml:space="preserve">Programi i Formimit Vazhdues dhe kalendari i aktiviteteve </w:t>
      </w:r>
      <w:r>
        <w:rPr>
          <w:rFonts w:ascii="Bookman Old Style" w:hAnsi="Bookman Old Style" w:cs="Calibri"/>
        </w:rPr>
        <w:t xml:space="preserve">dhe këtë vit, </w:t>
      </w:r>
      <w:r w:rsidRPr="005A2325">
        <w:rPr>
          <w:rFonts w:ascii="Bookman Old Style" w:hAnsi="Bookman Old Style" w:cs="Calibri"/>
        </w:rPr>
        <w:t xml:space="preserve">ka pasur si karakteristikë dinamizmin dhe fleksibilitetin, duke u azhurnuar rast pas rasti sipas interesave të audiencës së gjyqtarëve dhe prokurorëve dhe proceseve të reformës ligjore dhe të sistemit të drejtësisë për shkak të proceseve integruese por edhe çdo sugjerimi të ardhur në mënyrë të vazhdueshme në SHM. </w:t>
      </w:r>
    </w:p>
    <w:p w:rsidR="00CA7CDB" w:rsidRPr="00EA76BB" w:rsidRDefault="00CA7CDB" w:rsidP="00CA7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MS Mincho" w:hAnsi="Bookman Old Style"/>
        </w:rPr>
      </w:pPr>
      <w:r w:rsidRPr="005A2325">
        <w:rPr>
          <w:rFonts w:ascii="Bookman Old Style" w:eastAsia="Times New Roman" w:hAnsi="Bookman Old Style"/>
        </w:rPr>
        <w:t xml:space="preserve">Duke ndjekur këtë traditë, </w:t>
      </w:r>
      <w:r w:rsidRPr="005A2325">
        <w:rPr>
          <w:rFonts w:ascii="Bookman Old Style" w:eastAsia="MS Mincho" w:hAnsi="Bookman Old Style"/>
        </w:rPr>
        <w:t>Shkolla e Magjistraturës në mënyrë konsekuente ka vlerësuar qasjen e Programit të Formimit Vazhdues me nevojat në dinamikë të prokurorëve/gjyqtarëve në detyrë dhe jo vetëm, në mënyrë që të formulojë një program</w:t>
      </w:r>
      <w:r w:rsidRPr="00EA76BB">
        <w:rPr>
          <w:rFonts w:ascii="Bookman Old Style" w:eastAsia="MS Mincho" w:hAnsi="Bookman Old Style"/>
        </w:rPr>
        <w:t xml:space="preserve"> sa më efi</w:t>
      </w:r>
      <w:r>
        <w:rPr>
          <w:rFonts w:ascii="Bookman Old Style" w:eastAsia="MS Mincho" w:hAnsi="Bookman Old Style"/>
        </w:rPr>
        <w:t>ç</w:t>
      </w:r>
      <w:r w:rsidRPr="00EA76BB">
        <w:rPr>
          <w:rFonts w:ascii="Bookman Old Style" w:eastAsia="MS Mincho" w:hAnsi="Bookman Old Style"/>
        </w:rPr>
        <w:t>ent për të qenë sa më pranë nevojave të gjyqtarëve/prokurorëve.Vëmendja për mundësi përditësimi me tematika të reja nuk rresht,  edhe pse programi i formimit vazhdues miratohet tre vjeçar, duke u pasuruar vazhdimisht gjatë viteve akademike nëpërmjet sugjerimeve të auditorit, vetë ekspertëve apo lehtësuesve, partnerëve tanë, nevojave rast pas rasti të tematikave sipas zhvillimeve të legjislacionit vendas apo të trajtimeve të praktikave më të mira ndërkombëtare, por në pjesën më të madhe të rasteve kjo ka ardhur si pasojë e kërkesave të partnerëve tanë ndërkombëtarë për organizimin e aktiviteteve trajnuese të përbashkëta.   Shkolla ka qëndruar gjithnjë vigjilente ndaj çdo kërkese  të ardhur nga gjyqtarët, prokurorët, avokatët, juristët etj, të cilët mendojnë se kanë ekspertizë personale në një nga fushat dhe temat e Programit të Formimit Vazhdues, apo mendojnë se ndonjë prej kolegëve të tyre ka eksperiencë të spikatur për një temë të caktuar të aplikojë/në</w:t>
      </w:r>
      <w:r w:rsidRPr="00EA76BB">
        <w:rPr>
          <w:rFonts w:ascii="Bookman Old Style" w:eastAsia="MS Mincho" w:hAnsi="Bookman Old Style"/>
          <w:vertAlign w:val="superscript"/>
        </w:rPr>
        <w:footnoteReference w:id="5"/>
      </w:r>
      <w:r w:rsidRPr="00EA76BB">
        <w:rPr>
          <w:rFonts w:ascii="Bookman Old Style" w:eastAsia="MS Mincho" w:hAnsi="Bookman Old Style"/>
        </w:rPr>
        <w:t xml:space="preserve"> për ekspert apo lehtësues, duke vlerësuar çdo aplikim, me qëllim dhënien e mundësisë të gjithkujt që shpreh interes të përcjellë eksperiencën personale e profesionale, qoftë në rolin e ekspertit apo lehtësuesit, në respektim të vendimit të Këshillit Drejtues të Shkollës së Magjistraturës në lidhje me përzgjedhjen e ekspertëve e lehtësuesve në programit të formimit vazhdues.</w:t>
      </w:r>
    </w:p>
    <w:p w:rsidR="00CA7CDB" w:rsidRPr="00EA76BB" w:rsidRDefault="00CA7CDB" w:rsidP="00CA7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MS Mincho" w:hAnsi="Bookman Old Style"/>
        </w:rPr>
      </w:pPr>
    </w:p>
    <w:p w:rsidR="00CA7CDB" w:rsidRPr="00EA76BB" w:rsidRDefault="00CA7CDB" w:rsidP="00CA7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Times New Roman" w:hAnsi="Bookman Old Style"/>
        </w:rPr>
      </w:pPr>
      <w:r w:rsidRPr="00EA76BB">
        <w:rPr>
          <w:rFonts w:ascii="Bookman Old Style" w:eastAsia="MS Mincho" w:hAnsi="Bookman Old Style"/>
        </w:rPr>
        <w:t>Po ashtu, edhe gjatë vitit akademik 2015</w:t>
      </w:r>
      <w:r w:rsidRPr="00EA76BB">
        <w:rPr>
          <w:rFonts w:eastAsia="MS Mincho" w:cs="Calibri"/>
        </w:rPr>
        <w:t>˗</w:t>
      </w:r>
      <w:r w:rsidRPr="00EA76BB">
        <w:rPr>
          <w:rFonts w:ascii="Bookman Old Style" w:eastAsia="MS Mincho" w:hAnsi="Bookman Old Style"/>
        </w:rPr>
        <w:t xml:space="preserve">2016 nisur nga nevoja e gjyqtarëve të Gjykatave Administrative në rreth/apel për trajnime u planifikuan dhe u zhvilluan 9 aktivitete për këtë grup përfituesish, përkatësit tematikat: “Kodi administrativ”, dy aktivitete të zhvilluara në bashkëpunim me EURALIS;  “Risitë procedural në gjykimet administrative”, një aktivitet I zhvilluar në bashkëpunim me OSBE;  “Zhvillime të legjislacionit fiskal, në këndvështrimin e gjykimeve administrative.”, dy aktivitete të zhvilluara në bashkëpunim me OSBE; “E drejta administrative në kontekstin ndërkombëtar.”; “Institute të së drejtës procedural administrative sipas Kodit të ri të Procedurave Administrative.”, tre aktivitete të zhvilluara në bashkëpunim me IPA. Në këto aktivitete pati interes veç gjyqtarëve të gjykatave administrative rreth e apel dhe pjesëmarrje edhe nga gjyqtarë të rretheve/apelit.  </w:t>
      </w:r>
    </w:p>
    <w:p w:rsidR="00CA7CDB" w:rsidRPr="00EA76BB" w:rsidRDefault="00CA7CDB" w:rsidP="00CA7CDB">
      <w:pPr>
        <w:spacing w:after="0"/>
        <w:jc w:val="both"/>
        <w:rPr>
          <w:rFonts w:ascii="Bookman Old Style" w:eastAsia="Times New Roman" w:hAnsi="Bookman Old Style"/>
        </w:rPr>
      </w:pPr>
    </w:p>
    <w:p w:rsidR="00CA7CDB" w:rsidRPr="00EA76BB" w:rsidRDefault="00CA7CDB" w:rsidP="00CA7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man Old Style" w:eastAsia="MS Mincho" w:hAnsi="Bookman Old Style"/>
        </w:rPr>
      </w:pPr>
      <w:r w:rsidRPr="00EA76BB">
        <w:rPr>
          <w:rFonts w:ascii="Bookman Old Style" w:eastAsia="MS Mincho" w:hAnsi="Bookman Old Style"/>
        </w:rPr>
        <w:t xml:space="preserve">SHM ka treguar kujdes të veçantë që të përfshijë tema lidhur me detyrimet që burojnë nga proceset e integrimit, reformës ligjore në sistemin e drejtësisë, jurisprudencën e GJEDNJ, etj, ka qenë gjithnjë një nga aspektet më me rëndësi të këtij programi. </w:t>
      </w:r>
      <w:r w:rsidRPr="00EA76BB">
        <w:rPr>
          <w:rFonts w:ascii="Bookman Old Style" w:eastAsia="Times New Roman" w:hAnsi="Bookman Old Style"/>
        </w:rPr>
        <w:t xml:space="preserve">Shkolla e Magjistraturës e ka përgatitur këtë dokument duke u kujdesur që të merret mendimi i çdo aktori të sistemit të drejtësisë dhe ka respektuar me rigorozitet të gjitha kërkesat ligjore të vlerësimit të nevojave. </w:t>
      </w:r>
    </w:p>
    <w:p w:rsidR="00CA7CDB" w:rsidRPr="00EA76BB" w:rsidRDefault="00CA7CDB" w:rsidP="00CA7CDB">
      <w:pPr>
        <w:jc w:val="both"/>
        <w:outlineLvl w:val="0"/>
        <w:rPr>
          <w:rFonts w:ascii="Bookman Old Style" w:hAnsi="Bookman Old Style" w:cs="Calibri"/>
          <w:b/>
        </w:rPr>
      </w:pPr>
    </w:p>
    <w:p w:rsidR="00CA7CDB" w:rsidRPr="00EA76BB" w:rsidRDefault="00CA7CDB" w:rsidP="00CA7CDB">
      <w:pPr>
        <w:jc w:val="both"/>
        <w:outlineLvl w:val="0"/>
        <w:rPr>
          <w:rFonts w:ascii="Bookman Old Style" w:hAnsi="Bookman Old Style" w:cs="Calibri"/>
        </w:rPr>
      </w:pPr>
      <w:r w:rsidRPr="00EA76BB">
        <w:rPr>
          <w:rFonts w:ascii="Bookman Old Style" w:hAnsi="Bookman Old Style" w:cs="Calibri"/>
          <w:b/>
        </w:rPr>
        <w:t>Sfidat e vazhdueshme:</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Nuk ka ndryshuar kujdesi i Shkollës së Magjistraturës që gjyqtarët dhe prokurorët në detyrë, të kenë mundësinë të ndjekin një program trajnues sa më pranë kërkesave dhe interesave të tyre. Sikurse </w:t>
      </w:r>
      <w:r>
        <w:rPr>
          <w:rFonts w:ascii="Bookman Old Style" w:hAnsi="Bookman Old Style" w:cs="Calibri"/>
        </w:rPr>
        <w:t xml:space="preserve">SHM </w:t>
      </w:r>
      <w:r w:rsidRPr="00EA76BB">
        <w:rPr>
          <w:rFonts w:ascii="Bookman Old Style" w:hAnsi="Bookman Old Style" w:cs="Calibri"/>
        </w:rPr>
        <w:t xml:space="preserve">nuk ka ceduar të ofrojë një program perspektiv në përputhje me standardet e brendshme dhe ato ndërkombëtare, duke iu përgjigjur proceseve të reformës ligjore në sistemin e drejtësisë, si edhe çështjeve të përqasjes dhe harmonizimit me standardet ndërkombëtare. Kjo është realizuar përmes nxitjes së temave të reja apo të temave që kanë një gjendje “të fshehur” për nga rëndësia, por që në fakt efektojnë drejtpërdrejtë në aksesin në drejtësi dhe në standardet e procesit të rregullt ligjor e gjyqësor.  </w:t>
      </w:r>
    </w:p>
    <w:p w:rsidR="00D754B9" w:rsidRDefault="00CA7CDB" w:rsidP="00CA7CDB">
      <w:pPr>
        <w:rPr>
          <w:rFonts w:ascii="Bookman Old Style" w:hAnsi="Bookman Old Style" w:cs="Calibri"/>
        </w:rPr>
      </w:pPr>
      <w:r w:rsidRPr="00EA76BB">
        <w:rPr>
          <w:rFonts w:ascii="Bookman Old Style" w:hAnsi="Bookman Old Style" w:cs="Calibri"/>
        </w:rPr>
        <w:t>Duke qenë se Ligji ka përcaktuar afate të qarta të frekuentimit, kjo e ka vënë Shkollën e Magjistraturës përpara sfidës së plotësimit të këtij detyrimi në mënyrë cilësore.</w:t>
      </w:r>
    </w:p>
    <w:p w:rsidR="00CA7CDB" w:rsidRDefault="008633F3" w:rsidP="00CA7CDB">
      <w:pPr>
        <w:rPr>
          <w:rFonts w:ascii="Bookman Old Style" w:hAnsi="Bookman Old Style" w:cs="Calibri"/>
        </w:rPr>
      </w:pPr>
      <w:bookmarkStart w:id="13" w:name="OLE_LINK12"/>
      <w:r>
        <w:rPr>
          <w:rFonts w:ascii="Bookman Old Style" w:hAnsi="Bookman Old Style" w:cs="Calibri"/>
        </w:rPr>
        <w:t xml:space="preserve">         </w:t>
      </w:r>
      <w:r w:rsidR="006B34AB">
        <w:rPr>
          <w:rFonts w:ascii="Bookman Old Style" w:hAnsi="Bookman Old Style" w:cs="Calibri"/>
        </w:rPr>
        <w:t xml:space="preserve">   </w:t>
      </w:r>
      <w:r w:rsidR="00CA7CDB" w:rsidRPr="00A21A1B">
        <w:rPr>
          <w:rFonts w:ascii="Bookman Old Style" w:hAnsi="Bookman Old Style" w:cs="Calibri"/>
          <w:noProof/>
          <w:lang w:val="en-GB" w:eastAsia="en-GB"/>
        </w:rPr>
        <w:drawing>
          <wp:inline distT="0" distB="0" distL="0" distR="0">
            <wp:extent cx="550545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3219450"/>
                    </a:xfrm>
                    <a:prstGeom prst="rect">
                      <a:avLst/>
                    </a:prstGeom>
                    <a:noFill/>
                    <a:ln>
                      <a:noFill/>
                    </a:ln>
                  </pic:spPr>
                </pic:pic>
              </a:graphicData>
            </a:graphic>
          </wp:inline>
        </w:drawing>
      </w:r>
      <w:bookmarkEnd w:id="13"/>
    </w:p>
    <w:p w:rsidR="00CA7CDB" w:rsidRPr="00251B7E" w:rsidRDefault="00CA7CDB" w:rsidP="00251B7E">
      <w:pPr>
        <w:spacing w:after="0"/>
        <w:jc w:val="center"/>
        <w:rPr>
          <w:rFonts w:ascii="Times New Roman" w:hAnsi="Times New Roman" w:cs="Times New Roman"/>
          <w:b/>
          <w:color w:val="7D4D98" w:themeColor="accent6" w:themeShade="BF"/>
          <w:sz w:val="24"/>
          <w:szCs w:val="24"/>
        </w:rPr>
      </w:pPr>
      <w:r w:rsidRPr="00251B7E">
        <w:rPr>
          <w:rFonts w:ascii="Times New Roman" w:hAnsi="Times New Roman" w:cs="Times New Roman"/>
          <w:b/>
          <w:color w:val="7D4D98" w:themeColor="accent6" w:themeShade="BF"/>
          <w:sz w:val="24"/>
          <w:szCs w:val="24"/>
        </w:rPr>
        <w:t>Grafik Nr. 1</w:t>
      </w:r>
    </w:p>
    <w:p w:rsidR="00CA7CDB" w:rsidRDefault="00CA7CDB" w:rsidP="00251B7E">
      <w:pPr>
        <w:spacing w:after="0"/>
        <w:jc w:val="center"/>
        <w:rPr>
          <w:rFonts w:ascii="Times New Roman" w:hAnsi="Times New Roman" w:cs="Times New Roman"/>
          <w:b/>
          <w:color w:val="7D4D98" w:themeColor="accent6" w:themeShade="BF"/>
          <w:sz w:val="24"/>
          <w:szCs w:val="24"/>
        </w:rPr>
      </w:pPr>
      <w:r w:rsidRPr="00251B7E">
        <w:rPr>
          <w:rFonts w:ascii="Times New Roman" w:hAnsi="Times New Roman" w:cs="Times New Roman"/>
          <w:b/>
          <w:color w:val="7D4D98" w:themeColor="accent6" w:themeShade="BF"/>
          <w:sz w:val="24"/>
          <w:szCs w:val="24"/>
        </w:rPr>
        <w:t>(Fluksi i aktiviteteve për vitin akademik 2015-2016 parë nga këndvështrimi i mbështetjes financiare)</w:t>
      </w:r>
    </w:p>
    <w:p w:rsidR="00251B7E" w:rsidRPr="00251B7E" w:rsidRDefault="00251B7E" w:rsidP="00251B7E">
      <w:pPr>
        <w:spacing w:after="0"/>
        <w:jc w:val="center"/>
        <w:rPr>
          <w:rFonts w:ascii="Times New Roman" w:hAnsi="Times New Roman" w:cs="Times New Roman"/>
          <w:b/>
          <w:color w:val="7D4D98" w:themeColor="accent6" w:themeShade="BF"/>
          <w:sz w:val="24"/>
          <w:szCs w:val="24"/>
        </w:rPr>
      </w:pPr>
    </w:p>
    <w:p w:rsidR="00CA7CDB" w:rsidRPr="00EA76BB" w:rsidRDefault="00CA7CDB" w:rsidP="00CA7CDB">
      <w:pPr>
        <w:jc w:val="both"/>
        <w:outlineLvl w:val="0"/>
        <w:rPr>
          <w:rFonts w:ascii="Bookman Old Style" w:hAnsi="Bookman Old Style" w:cs="Calibri"/>
          <w:noProof/>
          <w:color w:val="FF0000"/>
        </w:rPr>
      </w:pPr>
      <w:r w:rsidRPr="00EA76BB">
        <w:rPr>
          <w:rFonts w:ascii="Bookman Old Style" w:hAnsi="Bookman Old Style" w:cs="Calibri"/>
          <w:noProof/>
        </w:rPr>
        <w:t>Grafiku Nr. 1 paraqet se cili ka qënë fluksi i aktiviteteve trajnuese për vitin akademik 2015-2016 nisur nga mbështetja e tyre përmes buxhetit të shtetit o</w:t>
      </w:r>
      <w:r>
        <w:rPr>
          <w:rFonts w:ascii="Bookman Old Style" w:hAnsi="Bookman Old Style" w:cs="Calibri"/>
          <w:noProof/>
        </w:rPr>
        <w:t>se</w:t>
      </w:r>
      <w:r w:rsidRPr="00EA76BB">
        <w:rPr>
          <w:rFonts w:ascii="Bookman Old Style" w:hAnsi="Bookman Old Style" w:cs="Calibri"/>
          <w:noProof/>
        </w:rPr>
        <w:t xml:space="preserve"> partnerëve ndërkombëtarë. </w:t>
      </w:r>
      <w:r w:rsidRPr="00EA76BB">
        <w:rPr>
          <w:rFonts w:ascii="Bookman Old Style" w:hAnsi="Bookman Old Style" w:cs="Calibri"/>
          <w:noProof/>
        </w:rPr>
        <w:lastRenderedPageBreak/>
        <w:t>Vihet re se për vitin akademik 2015-2016, numri i trajnimeve total është 93 aktivitete nga të cilat 53 aktivitete u mbuluan nga donatorët dhe 40 nga vet buxheti i Shkollës së Magjistraturës. Kështu krahasuar me një vit më parë vihet re se është rritur numri i aktiviteteve të mbështetura nga donatorët, pasi gjatë vitit akademik 2014-2015 kanë qenë 28 aktivitete që janë realizuar në bashkëpunim me donatorë. Megjithatë, vlen të theksohet se edhe në këto aktivitete, me qëllim plotësimin e ekspertizës, Shkolla ka caktuar ekspertë/lehtësues ose moderatorë të cilët janë paguar nga buxheti i shtetit. Gjithashtu, për vitin akademik 2015-2016 nuk ka pasur trajnime trajnerësh.</w:t>
      </w:r>
      <w:r>
        <w:rPr>
          <w:rFonts w:ascii="Bookman Old Style" w:hAnsi="Bookman Old Style" w:cs="Calibri"/>
          <w:noProof/>
        </w:rPr>
        <w:t xml:space="preserve"> Ka gjithnjë e më shumë interes për bashkëpunim me SHM të partenrëve ndërkombëtarë cka vlerëson se SHM është për ta një partner me kualitetet më të larta në fushën e trajnimit.</w:t>
      </w:r>
    </w:p>
    <w:p w:rsidR="00CA7CDB" w:rsidRPr="00EA76BB" w:rsidRDefault="00CA7CDB" w:rsidP="00CA7CDB">
      <w:pPr>
        <w:jc w:val="both"/>
        <w:outlineLvl w:val="0"/>
        <w:rPr>
          <w:rFonts w:ascii="Bookman Old Style" w:hAnsi="Bookman Old Style" w:cs="Calibri"/>
          <w:b/>
        </w:rPr>
      </w:pPr>
      <w:r w:rsidRPr="00EA76BB">
        <w:rPr>
          <w:rFonts w:ascii="Bookman Old Style" w:hAnsi="Bookman Old Style" w:cs="Calibri"/>
          <w:b/>
        </w:rPr>
        <w:t>Objektivat e Programit të Formimit Vazhdues</w:t>
      </w:r>
      <w:r w:rsidRPr="00EA76BB">
        <w:rPr>
          <w:rFonts w:ascii="Bookman Old Style" w:hAnsi="Bookman Old Style" w:cs="Calibri"/>
        </w:rPr>
        <w:t>:</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Këto duken si të pandryshueshme në thelbin e tyre. Objektiv i FV është  rritja e profesionalizmit të gjyqtarëve dhe prokurorëve në detyrë, faktor ky që ndikon në mënyrë të drejtpërdrejtë në rritjen e aksesit tek drejtësia, si dhe në pavarësinë e paanësinë e sistemit të drejtësisë. </w:t>
      </w:r>
    </w:p>
    <w:p w:rsidR="00CA7CDB" w:rsidRPr="00EA76BB" w:rsidRDefault="00CA7CDB" w:rsidP="00CA7CDB">
      <w:pPr>
        <w:jc w:val="both"/>
        <w:outlineLvl w:val="0"/>
        <w:rPr>
          <w:rFonts w:ascii="Bookman Old Style" w:hAnsi="Bookman Old Style" w:cs="Calibri"/>
          <w:b/>
        </w:rPr>
      </w:pPr>
      <w:r w:rsidRPr="00EA76BB">
        <w:rPr>
          <w:rFonts w:ascii="Bookman Old Style" w:hAnsi="Bookman Old Style" w:cs="Calibri"/>
          <w:b/>
        </w:rPr>
        <w:t>Objektivat strategjike të Formimit Vazhdues</w:t>
      </w:r>
    </w:p>
    <w:p w:rsidR="00CA7CDB" w:rsidRPr="00EA76BB" w:rsidRDefault="00CA7CDB" w:rsidP="003C4BF1">
      <w:pPr>
        <w:numPr>
          <w:ilvl w:val="0"/>
          <w:numId w:val="30"/>
        </w:numPr>
        <w:tabs>
          <w:tab w:val="clear" w:pos="720"/>
          <w:tab w:val="num" w:pos="360"/>
        </w:tabs>
        <w:ind w:left="360"/>
        <w:jc w:val="both"/>
        <w:rPr>
          <w:rFonts w:ascii="Bookman Old Style" w:hAnsi="Bookman Old Style" w:cs="Calibri"/>
        </w:rPr>
      </w:pPr>
      <w:r w:rsidRPr="00EA76BB">
        <w:rPr>
          <w:rFonts w:ascii="Bookman Old Style" w:hAnsi="Bookman Old Style" w:cs="Calibri"/>
        </w:rPr>
        <w:t>Programi i Formimit Vazhdues me të gjithë indikatorët e cilësisë dhe të larmishmërisë nga këndvështrimi tematik është bërë edhe më operativ përmes kalendarit të aktiviteteve trajnuese të detajuara në këtë dokument. Programi dhe kalendari i Formimit Vazhdues për vitin akademik  2015-2016 ka synuar të trajtojë një tematikë:</w:t>
      </w:r>
    </w:p>
    <w:p w:rsidR="00CA7CDB" w:rsidRPr="00EA76BB" w:rsidRDefault="00CA7CDB" w:rsidP="003C4BF1">
      <w:pPr>
        <w:numPr>
          <w:ilvl w:val="1"/>
          <w:numId w:val="30"/>
        </w:numPr>
        <w:tabs>
          <w:tab w:val="clear" w:pos="1440"/>
          <w:tab w:val="num" w:pos="1080"/>
        </w:tabs>
        <w:ind w:left="1080"/>
        <w:jc w:val="both"/>
        <w:rPr>
          <w:rFonts w:ascii="Bookman Old Style" w:hAnsi="Bookman Old Style" w:cs="Calibri"/>
        </w:rPr>
      </w:pPr>
      <w:r w:rsidRPr="00EA76BB">
        <w:rPr>
          <w:rFonts w:ascii="Bookman Old Style" w:hAnsi="Bookman Old Style" w:cs="Calibri"/>
        </w:rPr>
        <w:t>Të një natyre gjithëpërfshirëse ku të gjithë gjyqtarët e prokurorët mund të kenë interes, ashtu siç është gama e çështjeve që paraqiten përpara sistemit të drejtësisë, të tilla si etika profesionale, barazia dhe mosdiskriminimi, etj.</w:t>
      </w:r>
    </w:p>
    <w:p w:rsidR="00CA7CDB" w:rsidRPr="00EA76BB" w:rsidRDefault="00CA7CDB" w:rsidP="003C4BF1">
      <w:pPr>
        <w:numPr>
          <w:ilvl w:val="1"/>
          <w:numId w:val="30"/>
        </w:numPr>
        <w:tabs>
          <w:tab w:val="clear" w:pos="1440"/>
          <w:tab w:val="num" w:pos="1080"/>
        </w:tabs>
        <w:ind w:left="1080"/>
        <w:jc w:val="both"/>
        <w:rPr>
          <w:rFonts w:ascii="Bookman Old Style" w:hAnsi="Bookman Old Style" w:cs="Calibri"/>
        </w:rPr>
      </w:pPr>
      <w:r w:rsidRPr="00EA76BB">
        <w:rPr>
          <w:rFonts w:ascii="Bookman Old Style" w:hAnsi="Bookman Old Style" w:cs="Calibri"/>
        </w:rPr>
        <w:t>Të një natyre më të specializuar në fusha të veçanta ashtu siç kërkohet ndërhyrja e sistemit në një rast konkret duke respektuar parimet e unitetit dhe të diversitetit.</w:t>
      </w:r>
    </w:p>
    <w:p w:rsidR="00CA7CDB" w:rsidRPr="00EA76BB" w:rsidRDefault="00CA7CDB" w:rsidP="003C4BF1">
      <w:pPr>
        <w:numPr>
          <w:ilvl w:val="1"/>
          <w:numId w:val="30"/>
        </w:numPr>
        <w:tabs>
          <w:tab w:val="clear" w:pos="1440"/>
          <w:tab w:val="num" w:pos="1080"/>
        </w:tabs>
        <w:ind w:left="1080"/>
        <w:jc w:val="both"/>
        <w:rPr>
          <w:rFonts w:ascii="Bookman Old Style" w:hAnsi="Bookman Old Style" w:cs="Calibri"/>
        </w:rPr>
      </w:pPr>
      <w:r w:rsidRPr="00EA76BB">
        <w:rPr>
          <w:rFonts w:ascii="Bookman Old Style" w:hAnsi="Bookman Old Style" w:cs="Calibri"/>
        </w:rPr>
        <w:t xml:space="preserve">Të fokusohet më shumë tek aspektet sociale duke i sjellë këto në vëmendje në çdo aktivitet por kryesisht në temat me ndjeshmëri të lartë si dhuna në familje, interesi me i lartë i fëmijëve, etj.Tematikë të dedikuar kryesisht për prokurorët dhe kryesisht për gjyqtarët dhe trajnime të përbashkëta përmendim: </w:t>
      </w:r>
    </w:p>
    <w:p w:rsidR="00CA7CDB" w:rsidRPr="00EA76BB" w:rsidRDefault="00CA7CDB" w:rsidP="003C4BF1">
      <w:pPr>
        <w:numPr>
          <w:ilvl w:val="1"/>
          <w:numId w:val="30"/>
        </w:numPr>
        <w:tabs>
          <w:tab w:val="clear" w:pos="1440"/>
          <w:tab w:val="num" w:pos="1080"/>
        </w:tabs>
        <w:ind w:left="1080"/>
        <w:jc w:val="both"/>
        <w:rPr>
          <w:rFonts w:ascii="Bookman Old Style" w:hAnsi="Bookman Old Style" w:cs="Calibri"/>
        </w:rPr>
      </w:pPr>
      <w:r w:rsidRPr="00EA76BB">
        <w:rPr>
          <w:rFonts w:ascii="Bookman Old Style" w:hAnsi="Bookman Old Style" w:cs="Calibri"/>
        </w:rPr>
        <w:t xml:space="preserve">1) Aktivitete të dedikuara për prokurorët gjatë këtij viti akademik kanë qenë: Prezantimi i modelit kroat i Zyrës së Prokurorisë për shtypjen e korrupsionit dhe krimin e organizuar, kontrolli i sigurisë për gjyqtarët dhe prokurorët; </w:t>
      </w:r>
      <w:r w:rsidRPr="00EA76BB">
        <w:rPr>
          <w:rFonts w:ascii="Bookman Old Style" w:eastAsia="Times New Roman" w:hAnsi="Bookman Old Style"/>
        </w:rPr>
        <w:t xml:space="preserve"> Ndihma ndaj viktimave në çështjet penale; Të drejtat dhe shërbimet për viktimat</w:t>
      </w:r>
      <w:r w:rsidRPr="00EA76BB">
        <w:rPr>
          <w:rFonts w:ascii="Bookman Old Style" w:hAnsi="Bookman Old Style"/>
        </w:rPr>
        <w:t xml:space="preserve">;  Roli i prokurorit në marrjen e vendimeve për mosfillimin e procedimit penal, pezullimi i hetimeve dhe pushimi i </w:t>
      </w:r>
      <w:r w:rsidRPr="00EA76BB">
        <w:rPr>
          <w:rFonts w:ascii="Bookman Old Style" w:hAnsi="Bookman Old Style" w:cs="Arial"/>
          <w:lang w:eastAsia="ja-JP"/>
        </w:rPr>
        <w:t xml:space="preserve">çështjes; etj. </w:t>
      </w:r>
    </w:p>
    <w:p w:rsidR="00CA7CDB" w:rsidRPr="00EA76BB" w:rsidRDefault="00CA7CDB" w:rsidP="003C4BF1">
      <w:pPr>
        <w:numPr>
          <w:ilvl w:val="1"/>
          <w:numId w:val="30"/>
        </w:numPr>
        <w:tabs>
          <w:tab w:val="clear" w:pos="1440"/>
          <w:tab w:val="num" w:pos="1080"/>
        </w:tabs>
        <w:ind w:left="1080"/>
        <w:jc w:val="both"/>
        <w:rPr>
          <w:rFonts w:ascii="Bookman Old Style" w:hAnsi="Bookman Old Style" w:cs="Calibri"/>
        </w:rPr>
      </w:pPr>
      <w:r w:rsidRPr="00EA76BB">
        <w:rPr>
          <w:rFonts w:ascii="Bookman Old Style" w:hAnsi="Bookman Old Style" w:cs="Arial"/>
          <w:lang w:eastAsia="ja-JP"/>
        </w:rPr>
        <w:t xml:space="preserve">2) Aktivitete të dedikuara për gjyqtarët përmendim: Roli i gjyqtarit kombëtar dhe zbatimin e Legjislacionit të BE-së; </w:t>
      </w:r>
      <w:r w:rsidRPr="00EA76BB">
        <w:rPr>
          <w:rFonts w:ascii="Bookman Old Style" w:eastAsia="Times New Roman" w:hAnsi="Bookman Old Style" w:cs="Segoe UI"/>
          <w:bCs/>
          <w:color w:val="000000"/>
        </w:rPr>
        <w:t>Legjislacioni tatimor dhe prokurimet</w:t>
      </w:r>
      <w:r w:rsidRPr="00EA76BB">
        <w:rPr>
          <w:rFonts w:ascii="Bookman Old Style" w:hAnsi="Bookman Old Style"/>
        </w:rPr>
        <w:t xml:space="preserve">; Standardi i procesit të rregullt ligjor sipas doktrinës dhe jurisprudencës kushtetuese dhe </w:t>
      </w:r>
      <w:r w:rsidRPr="00EA76BB">
        <w:rPr>
          <w:rFonts w:ascii="Bookman Old Style" w:hAnsi="Bookman Old Style"/>
        </w:rPr>
        <w:lastRenderedPageBreak/>
        <w:t xml:space="preserve">konventore;Juridiksioni kushtetues vs. Juridiksionit gjyqësor administrativ;Shkrimi ligjor dhe arsyetimi i vendimeve gjyqësore, elementët e tij sipas dispozitave procedurale dhe materiale. Pasojat e mosarsyetimit të vendimit etj. </w:t>
      </w:r>
    </w:p>
    <w:p w:rsidR="00CA7CDB" w:rsidRPr="00EA76BB" w:rsidRDefault="00CA7CDB" w:rsidP="003C4BF1">
      <w:pPr>
        <w:numPr>
          <w:ilvl w:val="1"/>
          <w:numId w:val="30"/>
        </w:numPr>
        <w:tabs>
          <w:tab w:val="clear" w:pos="1440"/>
          <w:tab w:val="num" w:pos="1080"/>
        </w:tabs>
        <w:ind w:left="1080"/>
        <w:jc w:val="both"/>
        <w:rPr>
          <w:rFonts w:ascii="Bookman Old Style" w:hAnsi="Bookman Old Style"/>
        </w:rPr>
      </w:pPr>
      <w:r w:rsidRPr="00EA76BB">
        <w:rPr>
          <w:rFonts w:ascii="Bookman Old Style" w:hAnsi="Bookman Old Style"/>
        </w:rPr>
        <w:t xml:space="preserve">3) si dhe trajnime të përbashkëta siç janë: </w:t>
      </w:r>
      <w:r w:rsidRPr="00EA76BB">
        <w:rPr>
          <w:rFonts w:ascii="Bookman Old Style" w:hAnsi="Bookman Old Style"/>
          <w:bCs/>
          <w:color w:val="000000"/>
          <w:shd w:val="clear" w:color="auto" w:fill="FFFFFF"/>
        </w:rPr>
        <w:t xml:space="preserve">Parimet dhe Standardet ndërkombëtare/kombëtare për mbrojtjen e viktimave dhe dëshmitarëve të krimit, fokusuar në rastet e abuzimit seksual të fëmijëve; </w:t>
      </w:r>
      <w:r w:rsidRPr="00EA76BB">
        <w:rPr>
          <w:rFonts w:ascii="Bookman Old Style" w:hAnsi="Bookman Old Style"/>
        </w:rPr>
        <w:t>Akuzat e reja;Refleksione rreth praktikës gjyqësore në lidhje me institutin e bashkëpunimit në veprën penale dhe problematikat e krijuara;Etika gjyqësore, parimet, respektimi i solemnitetit në drejtim të etikës gjyqësore  etj.</w:t>
      </w:r>
    </w:p>
    <w:p w:rsidR="00CA7CDB" w:rsidRPr="00EA76BB" w:rsidRDefault="00CA7CDB" w:rsidP="003C4BF1">
      <w:pPr>
        <w:numPr>
          <w:ilvl w:val="0"/>
          <w:numId w:val="30"/>
        </w:numPr>
        <w:tabs>
          <w:tab w:val="clear" w:pos="720"/>
          <w:tab w:val="num" w:pos="360"/>
        </w:tabs>
        <w:ind w:left="360"/>
        <w:contextualSpacing/>
        <w:jc w:val="both"/>
        <w:rPr>
          <w:rFonts w:ascii="Bookman Old Style" w:hAnsi="Bookman Old Style" w:cs="Calibri"/>
        </w:rPr>
      </w:pPr>
      <w:r w:rsidRPr="00EA76BB">
        <w:rPr>
          <w:rFonts w:ascii="Bookman Old Style" w:hAnsi="Bookman Old Style" w:cs="Calibri"/>
        </w:rPr>
        <w:t xml:space="preserve">Plotësimi i kërkesave dhe nevojave të seksioneve të reja ose të gjyqtarëve që kanë lëvizur në këto seksione, si për shembull, trajnimet e dedikuara për gjyqtaret e Gjykatave Administrative në rreth e apel me tematikë: </w:t>
      </w:r>
      <w:r w:rsidRPr="00EA76BB">
        <w:rPr>
          <w:rFonts w:ascii="Bookman Old Style" w:eastAsia="Times New Roman" w:hAnsi="Bookman Old Style" w:cs="Segoe UI"/>
          <w:bCs/>
          <w:color w:val="000000"/>
        </w:rPr>
        <w:t>Kodi administrativ; Risitë procedurale në gjykimet administrative; Zhvillime të legjislacionit fiskal, në këndvështrimin e gjykimeve administrative; E drejta administrative në kontekstin ndërkombëtar; Institute të së drejtës procedural administrative sipas Kodit të ri të Procedurave Administrative</w:t>
      </w:r>
      <w:r w:rsidRPr="00EA76BB">
        <w:rPr>
          <w:rFonts w:ascii="Bookman Old Style" w:eastAsia="Batang" w:hAnsi="Bookman Old Style"/>
          <w:lang w:bidi="en-US"/>
        </w:rPr>
        <w:t>;</w:t>
      </w:r>
      <w:r w:rsidRPr="00EA76BB">
        <w:rPr>
          <w:rFonts w:ascii="Bookman Old Style" w:eastAsia="Times New Roman" w:hAnsi="Bookman Old Style"/>
          <w:color w:val="000000"/>
        </w:rPr>
        <w:t xml:space="preserve"> Rregullimi ligjor i marrëdhënieve të punës dhe problemet që ndeshen në praktikën gjyqësore në kuadër të zbatimit të dispozitave të Kodit të Punës  dhe ligjit 49/2014 si dhe ligjit nr.152/2013 “Për nëpunësit civil” etj.</w:t>
      </w:r>
    </w:p>
    <w:p w:rsidR="00CA7CDB" w:rsidRPr="00EA76BB" w:rsidRDefault="00CA7CDB" w:rsidP="003C4BF1">
      <w:pPr>
        <w:numPr>
          <w:ilvl w:val="0"/>
          <w:numId w:val="30"/>
        </w:numPr>
        <w:tabs>
          <w:tab w:val="clear" w:pos="720"/>
          <w:tab w:val="num" w:pos="360"/>
        </w:tabs>
        <w:ind w:left="360"/>
        <w:jc w:val="both"/>
        <w:rPr>
          <w:rFonts w:ascii="Bookman Old Style" w:hAnsi="Bookman Old Style" w:cs="Calibri"/>
        </w:rPr>
      </w:pPr>
      <w:r w:rsidRPr="00EA76BB">
        <w:rPr>
          <w:rFonts w:ascii="Bookman Old Style" w:hAnsi="Bookman Old Style" w:cs="Calibri"/>
        </w:rPr>
        <w:t>Plotësimi i kërkesave dhe nevojave, parë edhe në këndvështrimin e një tematike rajonale. Në këtë aspekt janë ndërmarrë organizimi dhe zhvillimi 5 tryezave diskutimi me tematikë: “</w:t>
      </w:r>
      <w:r w:rsidRPr="00EA76BB">
        <w:rPr>
          <w:rFonts w:ascii="Bookman Old Style" w:hAnsi="Bookman Old Style"/>
        </w:rPr>
        <w:t>Roli i sistemit të drejtësisë në mbrojtjen dhe promovimin e standardeve të barazisë dhe mosdiskriminimit gjinor. Roli i Shkollës së Magjistraturës përmes programit të trajnimit vazhdues, vlerësim i nevojave në këto aspekte.”</w:t>
      </w:r>
      <w:r w:rsidRPr="00EA76BB">
        <w:rPr>
          <w:rFonts w:ascii="Bookman Old Style" w:hAnsi="Bookman Old Style" w:cs="Calibri"/>
        </w:rPr>
        <w:t xml:space="preserve"> në zonat ku kanë kompetencë tokësore gjykatat e apelit duke realizuar aktivitetin e parë pranë Gjykatës së Apelit Korçë.</w:t>
      </w:r>
    </w:p>
    <w:p w:rsidR="00CA7CDB" w:rsidRPr="00EA76BB" w:rsidRDefault="00CA7CDB" w:rsidP="003C4BF1">
      <w:pPr>
        <w:numPr>
          <w:ilvl w:val="0"/>
          <w:numId w:val="30"/>
        </w:numPr>
        <w:tabs>
          <w:tab w:val="clear" w:pos="720"/>
          <w:tab w:val="num" w:pos="360"/>
        </w:tabs>
        <w:ind w:left="360"/>
        <w:jc w:val="both"/>
        <w:rPr>
          <w:rFonts w:ascii="Bookman Old Style" w:hAnsi="Bookman Old Style" w:cs="Calibri"/>
        </w:rPr>
      </w:pPr>
      <w:r w:rsidRPr="00EA76BB">
        <w:rPr>
          <w:rFonts w:ascii="Bookman Old Style" w:hAnsi="Bookman Old Style" w:cs="Calibri"/>
        </w:rPr>
        <w:t>Ofrimi i një trajnimi që synon drejt praktikave më përparimtare të azhurnuara edhe me standardet e evidentuara nga Gjykata Evropiane e të Drejtave të Njeriut edhe nga praktika e vendeve të tjera apo e Gjykatës Evropiane të Drejtësisë. Thuajse në të gjitha sesionet trajnuese ekspertët kanë azhurnuar temat e tyre me këtë jurisprudencë.</w:t>
      </w:r>
    </w:p>
    <w:p w:rsidR="00CA7CDB" w:rsidRPr="00EA76BB" w:rsidRDefault="00CA7CDB" w:rsidP="003C4BF1">
      <w:pPr>
        <w:numPr>
          <w:ilvl w:val="0"/>
          <w:numId w:val="30"/>
        </w:numPr>
        <w:tabs>
          <w:tab w:val="clear" w:pos="720"/>
          <w:tab w:val="num" w:pos="360"/>
        </w:tabs>
        <w:ind w:left="360"/>
        <w:jc w:val="both"/>
        <w:rPr>
          <w:rFonts w:ascii="Bookman Old Style" w:hAnsi="Bookman Old Style" w:cs="Calibri"/>
        </w:rPr>
      </w:pPr>
      <w:r w:rsidRPr="00EA76BB">
        <w:rPr>
          <w:rFonts w:ascii="Bookman Old Style" w:hAnsi="Bookman Old Style" w:cs="Calibri"/>
        </w:rPr>
        <w:t>Thellimi dhe specializimi në fusha të veçanta.</w:t>
      </w:r>
    </w:p>
    <w:p w:rsidR="00CA7CDB" w:rsidRPr="00EA76BB" w:rsidRDefault="00CA7CDB" w:rsidP="003C4BF1">
      <w:pPr>
        <w:numPr>
          <w:ilvl w:val="0"/>
          <w:numId w:val="30"/>
        </w:numPr>
        <w:tabs>
          <w:tab w:val="clear" w:pos="720"/>
          <w:tab w:val="num" w:pos="360"/>
        </w:tabs>
        <w:ind w:left="360"/>
        <w:jc w:val="both"/>
        <w:rPr>
          <w:rFonts w:ascii="Bookman Old Style" w:hAnsi="Bookman Old Style" w:cs="Calibri"/>
        </w:rPr>
      </w:pPr>
      <w:r w:rsidRPr="00EA76BB">
        <w:rPr>
          <w:rFonts w:ascii="Bookman Old Style" w:hAnsi="Bookman Old Style" w:cs="Calibri"/>
        </w:rPr>
        <w:t xml:space="preserve">Seleksionimi i ekspertizës më të mirë të brendshme dhe ndërkombëtare në fusha të veçanta.Në lidhje me ekspertizën e vendase përmendim ekspertët nga gjyqësori: Admir Belishta, Fatri Islamaj, Albana Boksi, Altina Nasufi, Amarildo Laçi; Ardian Dvorani, Ardian Nuni, Ervin Metalla, Ervin Pollozhani, Evelina Qirjako, Fjoralba Prifti, Gerd Hoxha, Kastriot Selita, Klodian Kurushi, Lindita Sinanaj, Elda Vrioni, Margarita Buhali, Saida Dollani, Sandër Simoni, Sokol Berberi, Valbona Vata, Vitore Tusha, Xhezair Zaganjori; ndër ekspertët nga prokuroria: Arian Muçaj, Arqile Koça, Artur Selmani, Besnik Muçi, Dritan Rreshka, Henrik Ligori, Olsian Çela; ekspert të tjerë: Alma Hicka, Arben Isaraj, Artan Hoxha, Skënder Kaçupi, Artan Hajdari, Arta Mandro, Arben Rakipi, Dashamir Kore, Elira Kokona, Eralda Met’hasani, Evis Alimehmeti, Idlir Peçi, Ina Rama, Mariana Semini, Manjola </w:t>
      </w:r>
      <w:r w:rsidRPr="00EA76BB">
        <w:rPr>
          <w:rFonts w:ascii="Bookman Old Style" w:hAnsi="Bookman Old Style" w:cs="Calibri"/>
        </w:rPr>
        <w:lastRenderedPageBreak/>
        <w:t>Xhaxho, Marsida Xhaferllari, Shamet Shabani, Sokol Sadushi, Vilma Rakipi, Vangjel Kosta, Arben Malaj, Arta Vorpsi, Gent Ibrahimi, Ardjana Kalo.</w:t>
      </w:r>
    </w:p>
    <w:p w:rsidR="00CA7CDB" w:rsidRPr="00EA76BB" w:rsidRDefault="00CA7CDB" w:rsidP="003C4BF1">
      <w:pPr>
        <w:numPr>
          <w:ilvl w:val="0"/>
          <w:numId w:val="30"/>
        </w:numPr>
        <w:tabs>
          <w:tab w:val="clear" w:pos="720"/>
          <w:tab w:val="num" w:pos="360"/>
        </w:tabs>
        <w:ind w:left="360"/>
        <w:jc w:val="both"/>
        <w:rPr>
          <w:rFonts w:ascii="Bookman Old Style" w:hAnsi="Bookman Old Style" w:cs="Calibri"/>
        </w:rPr>
      </w:pPr>
      <w:r w:rsidRPr="00EA76BB">
        <w:rPr>
          <w:rFonts w:ascii="Bookman Old Style" w:hAnsi="Bookman Old Style" w:cs="Calibri"/>
        </w:rPr>
        <w:t>Ballafaqime me sfidat dhe eksperiencat më pozitive, etj.</w:t>
      </w:r>
    </w:p>
    <w:p w:rsidR="00CA7CDB" w:rsidRPr="00EA76BB" w:rsidRDefault="00CA7CDB" w:rsidP="00CA7CDB">
      <w:pPr>
        <w:jc w:val="both"/>
        <w:outlineLvl w:val="0"/>
        <w:rPr>
          <w:rFonts w:ascii="Bookman Old Style" w:hAnsi="Bookman Old Style" w:cs="Calibri"/>
          <w:b/>
        </w:rPr>
      </w:pPr>
      <w:r w:rsidRPr="00EA76BB">
        <w:rPr>
          <w:rFonts w:ascii="Bookman Old Style" w:hAnsi="Bookman Old Style" w:cs="Calibri"/>
          <w:b/>
        </w:rPr>
        <w:t>Realizimi konkret i programit:</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Shkolla e Magjistraturës ka hyrë në vitin e pesëmbëdhjetë të zbatimit të programit të -formimit vazhdues të gjyqtarëve dhe prokurorëve bazuar në një program dhe kalendar paraprak. </w:t>
      </w:r>
    </w:p>
    <w:p w:rsidR="00CA7CDB" w:rsidRPr="00EA76BB" w:rsidRDefault="00CA7CDB" w:rsidP="00CA7CDB">
      <w:pPr>
        <w:jc w:val="both"/>
        <w:rPr>
          <w:rFonts w:ascii="Bookman Old Style" w:hAnsi="Bookman Old Style" w:cs="Calibri"/>
        </w:rPr>
      </w:pPr>
      <w:r w:rsidRPr="00EA76BB">
        <w:rPr>
          <w:rFonts w:ascii="Bookman Old Style" w:hAnsi="Bookman Old Style" w:cs="Calibri"/>
          <w:b/>
        </w:rPr>
        <w:t>Dinamizmi i PTV:</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Tashmë janë të qarta përfitimet e hartimit të një programi tri vjeçar. E nënvizojmë këtë, sepse ndërkohë që azhurnimi i programit bëhet pa pengesë ndër vite, duke pasur një bërthamë tematike të përcaktuar në fillim të tri vjetarit, kursehet kohë dhe energji; kontrollohet më mirë procesi sepse Shkolla ka mundësi më të mëdha të ndjekë në mënyrë progresiste aktivitetet trajnuese në kuptimin që të ofrojë një program të larmishëm; krijohet mundësi që të menaxhohet më mirë shpërndarja tematike në rastet e temave të përsëritura në vite të ndryshme dhe me grupe të ndryshme. Një sërë temash janë zhvilluar si module për herë të parë; </w:t>
      </w:r>
      <w:r w:rsidRPr="00EA76BB">
        <w:rPr>
          <w:rFonts w:ascii="Bookman Old Style" w:hAnsi="Bookman Old Style" w:cs="Calibri"/>
          <w:iCs/>
        </w:rPr>
        <w:t>nuk e ka penguar</w:t>
      </w:r>
      <w:r w:rsidRPr="00EA76BB">
        <w:rPr>
          <w:rFonts w:ascii="Bookman Old Style" w:hAnsi="Bookman Old Style" w:cs="Calibri"/>
        </w:rPr>
        <w:t xml:space="preserve"> aspak në përfshirjen e risive në program duke lënë një kohë më të madhe për përgatitjen e atyre që konsiderohen si çështje të reja.</w:t>
      </w:r>
    </w:p>
    <w:p w:rsidR="00CA7CDB" w:rsidRPr="00EA76BB" w:rsidRDefault="00CA7CDB" w:rsidP="00CA7CDB">
      <w:pPr>
        <w:jc w:val="both"/>
        <w:rPr>
          <w:rFonts w:ascii="Bookman Old Style" w:hAnsi="Bookman Old Style" w:cs="Calibri"/>
        </w:rPr>
      </w:pPr>
      <w:r>
        <w:rPr>
          <w:rFonts w:ascii="Bookman Old Style" w:hAnsi="Bookman Old Style" w:cs="Calibri"/>
        </w:rPr>
        <w:t xml:space="preserve">Programi i </w:t>
      </w:r>
      <w:r w:rsidRPr="00EA76BB">
        <w:rPr>
          <w:rFonts w:ascii="Bookman Old Style" w:hAnsi="Bookman Old Style" w:cs="Calibri"/>
        </w:rPr>
        <w:t xml:space="preserve">Formimit Vazhdues tre-vjeçar, pasuar me formularët e regjistrimit për këtë periudhë, janë baza nga ku lind edhe kalendari për çdo vit akademik duke parashikuar sasinë e trajnimeve apo ripërsëritjen e një teme/kursi të shpërndarë brenda këtyre tre viteve. Megjithatë Kalendari i çdo viti akademik ka natyrë elastike pasi gjatë një viti pasurohet duke përmbushur kërkesat e përfituesve. Për të mbështetur këtë, mjafton të shohim numrin e aktiviteteve të miratuar nga Këshilli Drejtues në fillim të vitit akademik dhe çfarë ndryshimesh kemi në fund të vitit akademik. </w:t>
      </w:r>
      <w:r w:rsidRPr="00F91F65">
        <w:rPr>
          <w:rFonts w:ascii="Bookman Old Style" w:hAnsi="Bookman Old Style" w:cs="Calibri"/>
          <w:b/>
        </w:rPr>
        <w:t xml:space="preserve">Kështu, për vitin  2015-2016 ndërsa Këshilli </w:t>
      </w:r>
      <w:r>
        <w:rPr>
          <w:rFonts w:ascii="Bookman Old Style" w:hAnsi="Bookman Old Style" w:cs="Calibri"/>
          <w:b/>
        </w:rPr>
        <w:t xml:space="preserve">Drejtues i SHM </w:t>
      </w:r>
      <w:r w:rsidRPr="00F91F65">
        <w:rPr>
          <w:rFonts w:ascii="Bookman Old Style" w:hAnsi="Bookman Old Style" w:cs="Calibri"/>
          <w:b/>
        </w:rPr>
        <w:t>miratoi 84 aktivitete, ky numër shkoi në 93 aktivitete.</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Dinamizmi shfaqet edhenë disa drejtime të tjera, p.sh: tek rasti i temave të përsëritura dinamizmi reflektohet në pasurimin e tyre me praktikë dhe standarde të reja ligjore e praktike kombëtare e ndërkombëtare. Sa i përket çështjeve të reja mund të themi se interesi për to, bëhet edhe më evident kur praktika ka nxjerrë problemet e veta të para. </w:t>
      </w:r>
    </w:p>
    <w:p w:rsidR="00CA7CDB" w:rsidRPr="00EA76BB" w:rsidRDefault="00CA7CDB" w:rsidP="00CA7CDB">
      <w:pPr>
        <w:jc w:val="both"/>
        <w:outlineLvl w:val="0"/>
        <w:rPr>
          <w:rFonts w:ascii="Bookman Old Style" w:hAnsi="Bookman Old Style" w:cs="Calibri"/>
          <w:b/>
        </w:rPr>
      </w:pPr>
      <w:r w:rsidRPr="00EA76BB">
        <w:rPr>
          <w:rFonts w:ascii="Bookman Old Style" w:hAnsi="Bookman Old Style" w:cs="Calibri"/>
          <w:b/>
        </w:rPr>
        <w:t>Stafi i PFV:</w:t>
      </w:r>
    </w:p>
    <w:p w:rsidR="00CA7CDB" w:rsidRPr="00EA76BB" w:rsidRDefault="00CA7CDB" w:rsidP="00CA7CDB">
      <w:pPr>
        <w:jc w:val="both"/>
        <w:rPr>
          <w:rFonts w:ascii="Bookman Old Style" w:hAnsi="Bookman Old Style" w:cs="Calibri"/>
          <w:color w:val="00B0F0"/>
        </w:rPr>
      </w:pPr>
      <w:r w:rsidRPr="00EA76BB">
        <w:rPr>
          <w:rFonts w:ascii="Bookman Old Style" w:hAnsi="Bookman Old Style" w:cs="Calibri"/>
        </w:rPr>
        <w:t>Përbëhet nga dy pedagogë me kohë të plotë, ku njëri prej tyre është Përgjegjësi i Departamentit, i cili është njëkohësisht edhe anëtar i Këshillit Drejtues të Shkollës së Magjistraturës, një përgjegjës i Sektorit të Formimit Profesional dhe dy sekretar shkencorë</w:t>
      </w:r>
      <w:r>
        <w:rPr>
          <w:rFonts w:ascii="Bookman Old Style" w:hAnsi="Bookman Old Style" w:cs="Calibri"/>
        </w:rPr>
        <w:t xml:space="preserve"> që kanë marrë detyrën këtë vit akademik </w:t>
      </w:r>
      <w:r w:rsidRPr="00EA76BB">
        <w:rPr>
          <w:rFonts w:ascii="Bookman Old Style" w:hAnsi="Bookman Old Style" w:cs="Calibri"/>
        </w:rPr>
        <w:t xml:space="preserve">Nisur nga rekomandimet e vazhdueshme të partnerëve ndërkombëtare dhe nisur nga eksperiencat e shkollave homologe, formimi vazhdues për vet natyrën e veprimtarisë së vet duhet të ketë të fortë dy aspekte: atë shkencor dhe atë praktik. Vendimi i Këshillit Drejtues të Shkollës për të përzgjedhur njërin nga pedagogët e formimit vazhdues nga radhët e gjyqësorit ose të prokurorisë, jep mundësinë e gërshetimit të teorisë me aspektet praktike. </w:t>
      </w:r>
      <w:r w:rsidRPr="00EA76BB">
        <w:rPr>
          <w:rFonts w:ascii="Bookman Old Style" w:hAnsi="Bookman Old Style" w:cs="Calibri"/>
        </w:rPr>
        <w:lastRenderedPageBreak/>
        <w:t xml:space="preserve">Mund të themi se stafi i formimit vazhdues </w:t>
      </w:r>
      <w:r>
        <w:rPr>
          <w:rFonts w:ascii="Bookman Old Style" w:hAnsi="Bookman Old Style" w:cs="Calibri"/>
        </w:rPr>
        <w:t xml:space="preserve">është i ri nga pikëpamja e sekretariatit dhe po kujdeset që të </w:t>
      </w:r>
      <w:r w:rsidRPr="00EA76BB">
        <w:rPr>
          <w:rFonts w:ascii="Bookman Old Style" w:hAnsi="Bookman Old Style" w:cs="Calibri"/>
        </w:rPr>
        <w:t>përball</w:t>
      </w:r>
      <w:r>
        <w:rPr>
          <w:rFonts w:ascii="Bookman Old Style" w:hAnsi="Bookman Old Style" w:cs="Calibri"/>
        </w:rPr>
        <w:t>ojë</w:t>
      </w:r>
      <w:r w:rsidRPr="00EA76BB">
        <w:rPr>
          <w:rFonts w:ascii="Bookman Old Style" w:hAnsi="Bookman Old Style" w:cs="Calibri"/>
        </w:rPr>
        <w:t xml:space="preserve"> ngarkesë</w:t>
      </w:r>
      <w:r>
        <w:rPr>
          <w:rFonts w:ascii="Bookman Old Style" w:hAnsi="Bookman Old Style" w:cs="Calibri"/>
        </w:rPr>
        <w:t>n tipike të këtij sektori</w:t>
      </w:r>
      <w:r w:rsidRPr="00EA76BB">
        <w:rPr>
          <w:rFonts w:ascii="Bookman Old Style" w:hAnsi="Bookman Old Style" w:cs="Calibri"/>
        </w:rPr>
        <w:t>.</w:t>
      </w:r>
      <w:r>
        <w:rPr>
          <w:rFonts w:ascii="Bookman Old Style" w:hAnsi="Bookman Old Style" w:cs="Calibri"/>
        </w:rPr>
        <w:t xml:space="preserve"> Shtimet organike do të ishin të mirëpritura.</w:t>
      </w:r>
    </w:p>
    <w:p w:rsidR="00CA7CDB" w:rsidRPr="00D65DAB" w:rsidRDefault="00CA7CDB" w:rsidP="00D65DAB">
      <w:pPr>
        <w:jc w:val="both"/>
        <w:rPr>
          <w:rFonts w:ascii="Bookman Old Style" w:hAnsi="Bookman Old Style"/>
          <w:b/>
          <w:bCs/>
          <w:color w:val="372971" w:themeColor="accent5" w:themeShade="80"/>
          <w:sz w:val="24"/>
          <w:szCs w:val="24"/>
        </w:rPr>
      </w:pPr>
      <w:bookmarkStart w:id="14" w:name="OLE_LINK1"/>
      <w:r w:rsidRPr="00D65DAB">
        <w:rPr>
          <w:rFonts w:ascii="Bookman Old Style" w:hAnsi="Bookman Old Style"/>
          <w:b/>
          <w:bCs/>
          <w:color w:val="372971" w:themeColor="accent5" w:themeShade="80"/>
          <w:sz w:val="24"/>
          <w:szCs w:val="24"/>
        </w:rPr>
        <w:t>2.2. Përmbajtja dhe tematika e Programit -Formimit për vitin akademik 2015-2016</w:t>
      </w:r>
    </w:p>
    <w:bookmarkEnd w:id="14"/>
    <w:p w:rsidR="00CA7CDB" w:rsidRDefault="00CA7CDB" w:rsidP="00CA7CDB">
      <w:pPr>
        <w:jc w:val="both"/>
        <w:rPr>
          <w:rFonts w:ascii="Bookman Old Style" w:hAnsi="Bookman Old Style" w:cs="Calibri"/>
          <w:color w:val="000000"/>
        </w:rPr>
      </w:pPr>
      <w:r w:rsidRPr="00EA76BB">
        <w:rPr>
          <w:rFonts w:ascii="Bookman Old Style" w:hAnsi="Bookman Old Style" w:cs="Calibri"/>
        </w:rPr>
        <w:t xml:space="preserve">Gjatë vitit akademik 2015-2016, u zhvilluan në total </w:t>
      </w:r>
      <w:r w:rsidRPr="00EA76BB">
        <w:rPr>
          <w:rFonts w:ascii="Bookman Old Style" w:hAnsi="Bookman Old Style" w:cs="Calibri"/>
          <w:color w:val="000000"/>
        </w:rPr>
        <w:t xml:space="preserve">93 aktivitete, përkatësisht: 40 trajnime të zhvilluara nga Shkolla e Magjistraturës, 53 trajnime të zhvilluara/të mbështetura nga donatorë, të cilat po i pasqyrojmë sipas fluksit mujor në Tabelën Nr. 1. </w:t>
      </w:r>
    </w:p>
    <w:p w:rsidR="00CA7CDB" w:rsidRDefault="00CA7CDB" w:rsidP="00CA7CDB">
      <w:pPr>
        <w:jc w:val="both"/>
        <w:rPr>
          <w:rFonts w:ascii="Bookman Old Style" w:hAnsi="Bookman Old Style" w:cs="Calibri"/>
          <w:color w:val="000000"/>
        </w:rPr>
      </w:pPr>
    </w:p>
    <w:p w:rsidR="00251B7E" w:rsidRPr="00EA76BB" w:rsidRDefault="00251B7E" w:rsidP="006B34AB">
      <w:pPr>
        <w:tabs>
          <w:tab w:val="left" w:pos="2550"/>
        </w:tabs>
        <w:jc w:val="both"/>
        <w:rPr>
          <w:rFonts w:ascii="Bookman Old Style" w:hAnsi="Bookman Old Style" w:cs="Calibri"/>
          <w:color w:val="000000"/>
        </w:rPr>
      </w:pPr>
    </w:p>
    <w:tbl>
      <w:tblPr>
        <w:tblW w:w="7529" w:type="dxa"/>
        <w:jc w:val="center"/>
        <w:tblLook w:val="04A0"/>
      </w:tblPr>
      <w:tblGrid>
        <w:gridCol w:w="560"/>
        <w:gridCol w:w="1440"/>
        <w:gridCol w:w="1385"/>
        <w:gridCol w:w="2700"/>
        <w:gridCol w:w="1444"/>
      </w:tblGrid>
      <w:tr w:rsidR="00CA7CDB" w:rsidRPr="00EA76BB" w:rsidTr="00E22FE0">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A7CDB" w:rsidRPr="00EA76BB" w:rsidRDefault="00CA7CDB" w:rsidP="00E22FE0">
            <w:pPr>
              <w:spacing w:after="0" w:line="240" w:lineRule="auto"/>
              <w:rPr>
                <w:rFonts w:ascii="Bookman Old Style" w:eastAsia="Times New Roman" w:hAnsi="Bookman Old Style"/>
                <w:b/>
                <w:bCs/>
                <w:color w:val="000000"/>
              </w:rPr>
            </w:pPr>
            <w:r w:rsidRPr="00EA76BB">
              <w:rPr>
                <w:rFonts w:ascii="Bookman Old Style" w:eastAsia="Times New Roman" w:hAnsi="Bookman Old Style"/>
                <w:b/>
                <w:bCs/>
                <w:color w:val="000000"/>
              </w:rPr>
              <w:t>Nr.</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rsidR="00CA7CDB" w:rsidRPr="00EA76BB" w:rsidRDefault="00CA7CDB" w:rsidP="00E22FE0">
            <w:pPr>
              <w:spacing w:after="0" w:line="240" w:lineRule="auto"/>
              <w:rPr>
                <w:rFonts w:ascii="Bookman Old Style" w:eastAsia="Times New Roman" w:hAnsi="Bookman Old Style"/>
                <w:b/>
                <w:bCs/>
                <w:color w:val="000000"/>
              </w:rPr>
            </w:pPr>
            <w:r w:rsidRPr="00EA76BB">
              <w:rPr>
                <w:rFonts w:ascii="Bookman Old Style" w:eastAsia="Times New Roman" w:hAnsi="Bookman Old Style"/>
                <w:b/>
                <w:bCs/>
                <w:color w:val="000000"/>
              </w:rPr>
              <w:t>Muajt</w:t>
            </w:r>
          </w:p>
        </w:tc>
        <w:tc>
          <w:tcPr>
            <w:tcW w:w="1385" w:type="dxa"/>
            <w:tcBorders>
              <w:top w:val="single" w:sz="4" w:space="0" w:color="auto"/>
              <w:left w:val="nil"/>
              <w:bottom w:val="single" w:sz="4" w:space="0" w:color="auto"/>
              <w:right w:val="single" w:sz="4" w:space="0" w:color="auto"/>
            </w:tcBorders>
            <w:shd w:val="clear" w:color="000000" w:fill="D9D9D9"/>
            <w:noWrap/>
            <w:vAlign w:val="bottom"/>
            <w:hideMark/>
          </w:tcPr>
          <w:p w:rsidR="00CA7CDB" w:rsidRPr="00EA76BB" w:rsidRDefault="00CA7CDB" w:rsidP="00E22FE0">
            <w:pPr>
              <w:spacing w:after="0" w:line="240" w:lineRule="auto"/>
              <w:rPr>
                <w:rFonts w:ascii="Bookman Old Style" w:eastAsia="Times New Roman" w:hAnsi="Bookman Old Style"/>
                <w:b/>
                <w:bCs/>
                <w:color w:val="000000"/>
              </w:rPr>
            </w:pPr>
            <w:r w:rsidRPr="00EA76BB">
              <w:rPr>
                <w:rFonts w:ascii="Bookman Old Style" w:eastAsia="Times New Roman" w:hAnsi="Bookman Old Style"/>
                <w:b/>
                <w:bCs/>
                <w:color w:val="000000"/>
              </w:rPr>
              <w:t>Trajnime ShM</w:t>
            </w:r>
          </w:p>
        </w:tc>
        <w:tc>
          <w:tcPr>
            <w:tcW w:w="2700" w:type="dxa"/>
            <w:tcBorders>
              <w:top w:val="single" w:sz="4" w:space="0" w:color="auto"/>
              <w:left w:val="nil"/>
              <w:bottom w:val="single" w:sz="4" w:space="0" w:color="auto"/>
              <w:right w:val="single" w:sz="4" w:space="0" w:color="auto"/>
            </w:tcBorders>
            <w:shd w:val="clear" w:color="000000" w:fill="D9D9D9"/>
            <w:noWrap/>
            <w:vAlign w:val="bottom"/>
            <w:hideMark/>
          </w:tcPr>
          <w:p w:rsidR="00CA7CDB" w:rsidRPr="00EA76BB" w:rsidRDefault="00CA7CDB" w:rsidP="00E22FE0">
            <w:pPr>
              <w:spacing w:after="0" w:line="240" w:lineRule="auto"/>
              <w:rPr>
                <w:rFonts w:ascii="Bookman Old Style" w:eastAsia="Times New Roman" w:hAnsi="Bookman Old Style"/>
                <w:b/>
                <w:bCs/>
                <w:color w:val="000000"/>
              </w:rPr>
            </w:pPr>
            <w:r w:rsidRPr="00EA76BB">
              <w:rPr>
                <w:rFonts w:ascii="Bookman Old Style" w:eastAsia="Times New Roman" w:hAnsi="Bookman Old Style"/>
                <w:b/>
                <w:bCs/>
                <w:color w:val="000000"/>
              </w:rPr>
              <w:t>Trajnime të mbështetura/të zhvilluara me donatorë</w:t>
            </w:r>
          </w:p>
        </w:tc>
        <w:tc>
          <w:tcPr>
            <w:tcW w:w="1444" w:type="dxa"/>
            <w:tcBorders>
              <w:top w:val="single" w:sz="4" w:space="0" w:color="auto"/>
              <w:left w:val="nil"/>
              <w:bottom w:val="single" w:sz="4" w:space="0" w:color="auto"/>
              <w:right w:val="single" w:sz="4" w:space="0" w:color="auto"/>
            </w:tcBorders>
            <w:shd w:val="clear" w:color="000000" w:fill="D9D9D9"/>
            <w:noWrap/>
            <w:vAlign w:val="bottom"/>
            <w:hideMark/>
          </w:tcPr>
          <w:p w:rsidR="00CA7CDB" w:rsidRPr="00EA76BB" w:rsidRDefault="00CA7CDB" w:rsidP="00E22FE0">
            <w:pPr>
              <w:spacing w:after="0" w:line="240" w:lineRule="auto"/>
              <w:rPr>
                <w:rFonts w:ascii="Bookman Old Style" w:eastAsia="Times New Roman" w:hAnsi="Bookman Old Style"/>
                <w:b/>
                <w:bCs/>
                <w:color w:val="000000"/>
              </w:rPr>
            </w:pPr>
            <w:r w:rsidRPr="00EA76BB">
              <w:rPr>
                <w:rFonts w:ascii="Bookman Old Style" w:eastAsia="Times New Roman" w:hAnsi="Bookman Old Style"/>
                <w:b/>
                <w:bCs/>
                <w:color w:val="000000"/>
              </w:rPr>
              <w:t>Trajnim Trajnerësh</w:t>
            </w:r>
          </w:p>
        </w:tc>
      </w:tr>
      <w:tr w:rsidR="00CA7CDB" w:rsidRPr="00EA76BB" w:rsidTr="00E22FE0">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1.</w:t>
            </w:r>
          </w:p>
        </w:tc>
        <w:tc>
          <w:tcPr>
            <w:tcW w:w="1440"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rPr>
                <w:rFonts w:ascii="Bookman Old Style" w:eastAsia="Times New Roman" w:hAnsi="Bookman Old Style"/>
                <w:color w:val="000000"/>
              </w:rPr>
            </w:pPr>
            <w:r w:rsidRPr="00EA76BB">
              <w:rPr>
                <w:rFonts w:ascii="Bookman Old Style" w:eastAsia="Times New Roman" w:hAnsi="Bookman Old Style"/>
                <w:color w:val="000000"/>
              </w:rPr>
              <w:t>Shtator 2015</w:t>
            </w:r>
          </w:p>
        </w:tc>
        <w:tc>
          <w:tcPr>
            <w:tcW w:w="1385"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c>
          <w:tcPr>
            <w:tcW w:w="2700"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2</w:t>
            </w:r>
          </w:p>
        </w:tc>
        <w:tc>
          <w:tcPr>
            <w:tcW w:w="1444"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r w:rsidR="00CA7CDB" w:rsidRPr="00EA76BB" w:rsidTr="00E22FE0">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2.</w:t>
            </w:r>
          </w:p>
        </w:tc>
        <w:tc>
          <w:tcPr>
            <w:tcW w:w="1440"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rPr>
                <w:rFonts w:ascii="Bookman Old Style" w:eastAsia="Times New Roman" w:hAnsi="Bookman Old Style"/>
                <w:color w:val="000000"/>
              </w:rPr>
            </w:pPr>
            <w:r w:rsidRPr="00EA76BB">
              <w:rPr>
                <w:rFonts w:ascii="Bookman Old Style" w:eastAsia="Times New Roman" w:hAnsi="Bookman Old Style"/>
                <w:color w:val="000000"/>
              </w:rPr>
              <w:t>Tetor 2015</w:t>
            </w:r>
          </w:p>
        </w:tc>
        <w:tc>
          <w:tcPr>
            <w:tcW w:w="1385"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c>
          <w:tcPr>
            <w:tcW w:w="2700"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7</w:t>
            </w:r>
          </w:p>
        </w:tc>
        <w:tc>
          <w:tcPr>
            <w:tcW w:w="1444"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r w:rsidR="00CA7CDB" w:rsidRPr="00EA76BB" w:rsidTr="00E22FE0">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3.</w:t>
            </w:r>
          </w:p>
        </w:tc>
        <w:tc>
          <w:tcPr>
            <w:tcW w:w="1440"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rPr>
                <w:rFonts w:ascii="Bookman Old Style" w:eastAsia="Times New Roman" w:hAnsi="Bookman Old Style"/>
                <w:color w:val="000000"/>
              </w:rPr>
            </w:pPr>
            <w:r w:rsidRPr="00EA76BB">
              <w:rPr>
                <w:rFonts w:ascii="Bookman Old Style" w:eastAsia="Times New Roman" w:hAnsi="Bookman Old Style"/>
                <w:color w:val="000000"/>
              </w:rPr>
              <w:t>Nëntor 2015</w:t>
            </w:r>
          </w:p>
        </w:tc>
        <w:tc>
          <w:tcPr>
            <w:tcW w:w="1385"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1</w:t>
            </w:r>
          </w:p>
        </w:tc>
        <w:tc>
          <w:tcPr>
            <w:tcW w:w="2700"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6</w:t>
            </w:r>
          </w:p>
        </w:tc>
        <w:tc>
          <w:tcPr>
            <w:tcW w:w="1444"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r w:rsidR="00CA7CDB" w:rsidRPr="00EA76BB" w:rsidTr="00E22FE0">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4.</w:t>
            </w:r>
          </w:p>
        </w:tc>
        <w:tc>
          <w:tcPr>
            <w:tcW w:w="1440"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color w:val="000000"/>
              </w:rPr>
            </w:pPr>
            <w:r w:rsidRPr="00EA76BB">
              <w:rPr>
                <w:rFonts w:ascii="Bookman Old Style" w:eastAsia="Times New Roman" w:hAnsi="Bookman Old Style"/>
                <w:color w:val="000000"/>
              </w:rPr>
              <w:t>Dhjetor 2015</w:t>
            </w:r>
          </w:p>
        </w:tc>
        <w:tc>
          <w:tcPr>
            <w:tcW w:w="1385"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4</w:t>
            </w:r>
          </w:p>
        </w:tc>
        <w:tc>
          <w:tcPr>
            <w:tcW w:w="2700"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9</w:t>
            </w:r>
          </w:p>
        </w:tc>
        <w:tc>
          <w:tcPr>
            <w:tcW w:w="1444"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r w:rsidR="00CA7CDB" w:rsidRPr="00EA76BB" w:rsidTr="00E22FE0">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5.</w:t>
            </w:r>
          </w:p>
        </w:tc>
        <w:tc>
          <w:tcPr>
            <w:tcW w:w="1440"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color w:val="000000"/>
              </w:rPr>
            </w:pPr>
            <w:r w:rsidRPr="00EA76BB">
              <w:rPr>
                <w:rFonts w:ascii="Bookman Old Style" w:eastAsia="Times New Roman" w:hAnsi="Bookman Old Style"/>
                <w:color w:val="000000"/>
              </w:rPr>
              <w:t>Janar 2016</w:t>
            </w:r>
          </w:p>
        </w:tc>
        <w:tc>
          <w:tcPr>
            <w:tcW w:w="1385"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4</w:t>
            </w:r>
          </w:p>
        </w:tc>
        <w:tc>
          <w:tcPr>
            <w:tcW w:w="2700"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1</w:t>
            </w:r>
          </w:p>
        </w:tc>
        <w:tc>
          <w:tcPr>
            <w:tcW w:w="1444"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r w:rsidR="00CA7CDB" w:rsidRPr="00EA76BB" w:rsidTr="00E22FE0">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6.</w:t>
            </w:r>
          </w:p>
        </w:tc>
        <w:tc>
          <w:tcPr>
            <w:tcW w:w="1440"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color w:val="000000"/>
              </w:rPr>
            </w:pPr>
            <w:r w:rsidRPr="00EA76BB">
              <w:rPr>
                <w:rFonts w:ascii="Bookman Old Style" w:eastAsia="Times New Roman" w:hAnsi="Bookman Old Style"/>
                <w:color w:val="000000"/>
              </w:rPr>
              <w:t>Shkurt 2016</w:t>
            </w:r>
          </w:p>
        </w:tc>
        <w:tc>
          <w:tcPr>
            <w:tcW w:w="1385"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5</w:t>
            </w:r>
          </w:p>
        </w:tc>
        <w:tc>
          <w:tcPr>
            <w:tcW w:w="2700"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6</w:t>
            </w:r>
          </w:p>
        </w:tc>
        <w:tc>
          <w:tcPr>
            <w:tcW w:w="1444"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r w:rsidR="00CA7CDB" w:rsidRPr="00EA76BB" w:rsidTr="00E22FE0">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7.</w:t>
            </w:r>
          </w:p>
        </w:tc>
        <w:tc>
          <w:tcPr>
            <w:tcW w:w="1440"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color w:val="000000"/>
              </w:rPr>
            </w:pPr>
            <w:r w:rsidRPr="00EA76BB">
              <w:rPr>
                <w:rFonts w:ascii="Bookman Old Style" w:eastAsia="Times New Roman" w:hAnsi="Bookman Old Style"/>
                <w:color w:val="000000"/>
              </w:rPr>
              <w:t>Mars 2016</w:t>
            </w:r>
          </w:p>
        </w:tc>
        <w:tc>
          <w:tcPr>
            <w:tcW w:w="1385"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6</w:t>
            </w:r>
          </w:p>
        </w:tc>
        <w:tc>
          <w:tcPr>
            <w:tcW w:w="2700"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6</w:t>
            </w:r>
          </w:p>
        </w:tc>
        <w:tc>
          <w:tcPr>
            <w:tcW w:w="1444"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r w:rsidR="00CA7CDB" w:rsidRPr="00EA76BB" w:rsidTr="00E22FE0">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8.</w:t>
            </w:r>
          </w:p>
        </w:tc>
        <w:tc>
          <w:tcPr>
            <w:tcW w:w="1440"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color w:val="000000"/>
              </w:rPr>
            </w:pPr>
            <w:r w:rsidRPr="00EA76BB">
              <w:rPr>
                <w:rFonts w:ascii="Bookman Old Style" w:eastAsia="Times New Roman" w:hAnsi="Bookman Old Style"/>
                <w:color w:val="000000"/>
              </w:rPr>
              <w:t>Prill 2016</w:t>
            </w:r>
          </w:p>
        </w:tc>
        <w:tc>
          <w:tcPr>
            <w:tcW w:w="1385"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7</w:t>
            </w:r>
          </w:p>
        </w:tc>
        <w:tc>
          <w:tcPr>
            <w:tcW w:w="2700"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7</w:t>
            </w:r>
          </w:p>
        </w:tc>
        <w:tc>
          <w:tcPr>
            <w:tcW w:w="1444"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r w:rsidR="00CA7CDB" w:rsidRPr="00EA76BB" w:rsidTr="00E22FE0">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9.</w:t>
            </w:r>
          </w:p>
        </w:tc>
        <w:tc>
          <w:tcPr>
            <w:tcW w:w="1440"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color w:val="000000"/>
              </w:rPr>
            </w:pPr>
            <w:r w:rsidRPr="00EA76BB">
              <w:rPr>
                <w:rFonts w:ascii="Bookman Old Style" w:eastAsia="Times New Roman" w:hAnsi="Bookman Old Style"/>
                <w:color w:val="000000"/>
              </w:rPr>
              <w:t>Maj 2016</w:t>
            </w:r>
          </w:p>
        </w:tc>
        <w:tc>
          <w:tcPr>
            <w:tcW w:w="1385"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7</w:t>
            </w:r>
          </w:p>
        </w:tc>
        <w:tc>
          <w:tcPr>
            <w:tcW w:w="2700"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3</w:t>
            </w:r>
          </w:p>
        </w:tc>
        <w:tc>
          <w:tcPr>
            <w:tcW w:w="1444"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r w:rsidR="00CA7CDB" w:rsidRPr="00EA76BB" w:rsidTr="00E22FE0">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10.</w:t>
            </w:r>
          </w:p>
        </w:tc>
        <w:tc>
          <w:tcPr>
            <w:tcW w:w="1440"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color w:val="000000"/>
              </w:rPr>
            </w:pPr>
            <w:r w:rsidRPr="00EA76BB">
              <w:rPr>
                <w:rFonts w:ascii="Bookman Old Style" w:eastAsia="Times New Roman" w:hAnsi="Bookman Old Style"/>
                <w:color w:val="000000"/>
              </w:rPr>
              <w:t>Qershor 2016</w:t>
            </w:r>
          </w:p>
        </w:tc>
        <w:tc>
          <w:tcPr>
            <w:tcW w:w="1385"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6</w:t>
            </w:r>
          </w:p>
        </w:tc>
        <w:tc>
          <w:tcPr>
            <w:tcW w:w="2700"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6</w:t>
            </w:r>
          </w:p>
        </w:tc>
        <w:tc>
          <w:tcPr>
            <w:tcW w:w="1444"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r w:rsidR="00CA7CDB" w:rsidRPr="00EA76BB" w:rsidTr="00E22FE0">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color w:val="000000"/>
              </w:rPr>
            </w:pPr>
            <w:r w:rsidRPr="00EA76BB">
              <w:rPr>
                <w:rFonts w:ascii="Bookman Old Style" w:eastAsia="Times New Roman" w:hAnsi="Bookman Old Style"/>
                <w:color w:val="000000"/>
              </w:rPr>
              <w:t> </w:t>
            </w:r>
          </w:p>
        </w:tc>
        <w:tc>
          <w:tcPr>
            <w:tcW w:w="1440" w:type="dxa"/>
            <w:tcBorders>
              <w:top w:val="nil"/>
              <w:left w:val="nil"/>
              <w:bottom w:val="single" w:sz="4" w:space="0" w:color="auto"/>
              <w:right w:val="single" w:sz="4" w:space="0" w:color="auto"/>
            </w:tcBorders>
            <w:shd w:val="clear" w:color="000000" w:fill="808080"/>
            <w:noWrap/>
            <w:vAlign w:val="bottom"/>
            <w:hideMark/>
          </w:tcPr>
          <w:p w:rsidR="00CA7CDB" w:rsidRPr="00EA76BB" w:rsidRDefault="00CA7CDB" w:rsidP="00E22FE0">
            <w:pPr>
              <w:spacing w:after="0" w:line="240" w:lineRule="auto"/>
              <w:rPr>
                <w:rFonts w:ascii="Bookman Old Style" w:eastAsia="Times New Roman" w:hAnsi="Bookman Old Style"/>
                <w:color w:val="000000"/>
              </w:rPr>
            </w:pPr>
            <w:r w:rsidRPr="00EA76BB">
              <w:rPr>
                <w:rFonts w:ascii="Bookman Old Style" w:eastAsia="Times New Roman" w:hAnsi="Bookman Old Style"/>
                <w:color w:val="000000"/>
              </w:rPr>
              <w:t>TOTAL</w:t>
            </w:r>
          </w:p>
        </w:tc>
        <w:tc>
          <w:tcPr>
            <w:tcW w:w="1385" w:type="dxa"/>
            <w:tcBorders>
              <w:top w:val="nil"/>
              <w:left w:val="nil"/>
              <w:bottom w:val="single" w:sz="4" w:space="0" w:color="auto"/>
              <w:right w:val="single" w:sz="4" w:space="0" w:color="auto"/>
            </w:tcBorders>
            <w:shd w:val="clear" w:color="000000" w:fill="FCD5B4"/>
            <w:noWrap/>
            <w:vAlign w:val="bottom"/>
          </w:tcPr>
          <w:p w:rsidR="00CA7CDB" w:rsidRPr="00EA76BB" w:rsidRDefault="00CA7CDB" w:rsidP="00E22FE0">
            <w:pPr>
              <w:spacing w:after="0" w:line="240" w:lineRule="auto"/>
              <w:jc w:val="right"/>
              <w:rPr>
                <w:rFonts w:ascii="Bookman Old Style" w:eastAsia="Times New Roman" w:hAnsi="Bookman Old Style"/>
                <w:b/>
                <w:bCs/>
                <w:color w:val="0070C0"/>
              </w:rPr>
            </w:pPr>
            <w:r w:rsidRPr="00EA76BB">
              <w:rPr>
                <w:rFonts w:ascii="Bookman Old Style" w:eastAsia="Times New Roman" w:hAnsi="Bookman Old Style"/>
                <w:b/>
                <w:bCs/>
                <w:color w:val="0070C0"/>
              </w:rPr>
              <w:t>40</w:t>
            </w:r>
          </w:p>
        </w:tc>
        <w:tc>
          <w:tcPr>
            <w:tcW w:w="2700" w:type="dxa"/>
            <w:tcBorders>
              <w:top w:val="nil"/>
              <w:left w:val="nil"/>
              <w:bottom w:val="single" w:sz="4" w:space="0" w:color="auto"/>
              <w:right w:val="single" w:sz="4" w:space="0" w:color="auto"/>
            </w:tcBorders>
            <w:shd w:val="clear" w:color="000000" w:fill="FCD5B4"/>
            <w:noWrap/>
            <w:vAlign w:val="bottom"/>
          </w:tcPr>
          <w:p w:rsidR="00CA7CDB" w:rsidRPr="00EA76BB" w:rsidRDefault="00CA7CDB" w:rsidP="00E22FE0">
            <w:pPr>
              <w:spacing w:after="0" w:line="240" w:lineRule="auto"/>
              <w:jc w:val="right"/>
              <w:rPr>
                <w:rFonts w:ascii="Bookman Old Style" w:eastAsia="Times New Roman" w:hAnsi="Bookman Old Style"/>
                <w:b/>
                <w:bCs/>
                <w:color w:val="0070C0"/>
              </w:rPr>
            </w:pPr>
            <w:r w:rsidRPr="00EA76BB">
              <w:rPr>
                <w:rFonts w:ascii="Bookman Old Style" w:eastAsia="Times New Roman" w:hAnsi="Bookman Old Style"/>
                <w:b/>
                <w:bCs/>
                <w:color w:val="0070C0"/>
              </w:rPr>
              <w:t>53</w:t>
            </w:r>
          </w:p>
        </w:tc>
        <w:tc>
          <w:tcPr>
            <w:tcW w:w="1444" w:type="dxa"/>
            <w:tcBorders>
              <w:top w:val="nil"/>
              <w:left w:val="nil"/>
              <w:bottom w:val="single" w:sz="4" w:space="0" w:color="auto"/>
              <w:right w:val="single" w:sz="4" w:space="0" w:color="auto"/>
            </w:tcBorders>
            <w:shd w:val="clear" w:color="000000" w:fill="FCD5B4"/>
            <w:noWrap/>
            <w:vAlign w:val="bottom"/>
          </w:tcPr>
          <w:p w:rsidR="00CA7CDB" w:rsidRPr="00EA76BB" w:rsidRDefault="00CA7CDB" w:rsidP="00E22FE0">
            <w:pPr>
              <w:spacing w:after="0" w:line="240" w:lineRule="auto"/>
              <w:jc w:val="right"/>
              <w:rPr>
                <w:rFonts w:ascii="Bookman Old Style" w:eastAsia="Times New Roman" w:hAnsi="Bookman Old Style"/>
                <w:b/>
                <w:bCs/>
                <w:color w:val="0070C0"/>
              </w:rPr>
            </w:pPr>
            <w:r w:rsidRPr="00EA76BB">
              <w:rPr>
                <w:rFonts w:ascii="Bookman Old Style" w:eastAsia="Times New Roman" w:hAnsi="Bookman Old Style"/>
                <w:b/>
                <w:bCs/>
                <w:color w:val="0070C0"/>
              </w:rPr>
              <w:t>0</w:t>
            </w:r>
          </w:p>
        </w:tc>
      </w:tr>
    </w:tbl>
    <w:p w:rsidR="00CA7CDB" w:rsidRPr="00251B7E" w:rsidRDefault="006B34AB" w:rsidP="00251B7E">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CA7CDB" w:rsidRPr="00251B7E">
        <w:rPr>
          <w:rFonts w:ascii="Times New Roman" w:hAnsi="Times New Roman" w:cs="Times New Roman"/>
          <w:b/>
          <w:color w:val="7D4D98" w:themeColor="accent6" w:themeShade="BF"/>
          <w:sz w:val="24"/>
          <w:szCs w:val="24"/>
        </w:rPr>
        <w:t>Tabela Nr. 1</w:t>
      </w:r>
    </w:p>
    <w:p w:rsidR="00CA7CDB" w:rsidRDefault="00CA7CDB" w:rsidP="00251B7E">
      <w:pPr>
        <w:spacing w:after="0"/>
        <w:jc w:val="center"/>
        <w:rPr>
          <w:rFonts w:ascii="Times New Roman" w:hAnsi="Times New Roman" w:cs="Times New Roman"/>
          <w:b/>
          <w:color w:val="7D4D98" w:themeColor="accent6" w:themeShade="BF"/>
          <w:sz w:val="24"/>
          <w:szCs w:val="24"/>
        </w:rPr>
      </w:pPr>
      <w:r w:rsidRPr="00251B7E">
        <w:rPr>
          <w:rFonts w:ascii="Times New Roman" w:hAnsi="Times New Roman" w:cs="Times New Roman"/>
          <w:b/>
          <w:color w:val="7D4D98" w:themeColor="accent6" w:themeShade="BF"/>
          <w:sz w:val="24"/>
          <w:szCs w:val="24"/>
        </w:rPr>
        <w:t>(Fluksi i aktiviteteve për vitin akademik 2015-2016 i detajuar në baza mujore)</w:t>
      </w:r>
    </w:p>
    <w:p w:rsidR="00251B7E" w:rsidRPr="00251B7E" w:rsidRDefault="00251B7E" w:rsidP="00251B7E">
      <w:pPr>
        <w:spacing w:after="0"/>
        <w:jc w:val="center"/>
        <w:rPr>
          <w:rFonts w:ascii="Times New Roman" w:hAnsi="Times New Roman" w:cs="Times New Roman"/>
          <w:b/>
          <w:color w:val="7D4D98" w:themeColor="accent6" w:themeShade="BF"/>
          <w:sz w:val="24"/>
          <w:szCs w:val="24"/>
        </w:rPr>
      </w:pPr>
    </w:p>
    <w:p w:rsidR="00CA7CDB" w:rsidRDefault="00CA7CDB" w:rsidP="00CA7CDB">
      <w:pPr>
        <w:spacing w:after="0" w:line="240" w:lineRule="auto"/>
        <w:jc w:val="both"/>
        <w:rPr>
          <w:rFonts w:ascii="Bookman Old Style" w:hAnsi="Bookman Old Style" w:cs="Calibri"/>
        </w:rPr>
      </w:pPr>
      <w:r w:rsidRPr="00EA76BB">
        <w:rPr>
          <w:rFonts w:ascii="Bookman Old Style" w:hAnsi="Bookman Old Style" w:cs="Calibri"/>
        </w:rPr>
        <w:t>Aktivitet trajnuese kanë filluar në muajin shtator 2015 dhe kanë përfunduar në muajin qershor 2016.</w:t>
      </w:r>
    </w:p>
    <w:p w:rsidR="00CA7CDB" w:rsidRDefault="00CA7CDB" w:rsidP="00CA7CDB">
      <w:pPr>
        <w:spacing w:after="0" w:line="240" w:lineRule="auto"/>
        <w:jc w:val="both"/>
        <w:rPr>
          <w:rFonts w:ascii="Bookman Old Style" w:hAnsi="Bookman Old Style" w:cs="Calibri"/>
        </w:rPr>
      </w:pPr>
    </w:p>
    <w:p w:rsidR="00CA7CDB" w:rsidRPr="00EA76BB" w:rsidRDefault="006B34AB" w:rsidP="00CA7CDB">
      <w:pPr>
        <w:spacing w:after="0" w:line="240" w:lineRule="auto"/>
        <w:jc w:val="both"/>
        <w:rPr>
          <w:rFonts w:ascii="Bookman Old Style" w:hAnsi="Bookman Old Style"/>
          <w:i/>
        </w:rPr>
      </w:pPr>
      <w:r>
        <w:rPr>
          <w:rFonts w:ascii="Bookman Old Style" w:hAnsi="Bookman Old Style"/>
          <w:i/>
        </w:rPr>
        <w:lastRenderedPageBreak/>
        <w:t xml:space="preserve">                     </w:t>
      </w:r>
      <w:r w:rsidR="00CA7CDB" w:rsidRPr="00A21A1B">
        <w:rPr>
          <w:rFonts w:ascii="Bookman Old Style" w:hAnsi="Bookman Old Style"/>
          <w:noProof/>
          <w:lang w:val="en-GB" w:eastAsia="en-GB"/>
        </w:rPr>
        <w:drawing>
          <wp:inline distT="0" distB="0" distL="0" distR="0">
            <wp:extent cx="4819650" cy="28184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3484" cy="2820653"/>
                    </a:xfrm>
                    <a:prstGeom prst="rect">
                      <a:avLst/>
                    </a:prstGeom>
                    <a:noFill/>
                    <a:ln>
                      <a:noFill/>
                    </a:ln>
                  </pic:spPr>
                </pic:pic>
              </a:graphicData>
            </a:graphic>
          </wp:inline>
        </w:drawing>
      </w:r>
    </w:p>
    <w:p w:rsidR="00CA7CDB" w:rsidRPr="00251B7E" w:rsidRDefault="006B34AB" w:rsidP="00251B7E">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CA7CDB" w:rsidRPr="00251B7E">
        <w:rPr>
          <w:rFonts w:ascii="Times New Roman" w:hAnsi="Times New Roman" w:cs="Times New Roman"/>
          <w:b/>
          <w:color w:val="7D4D98" w:themeColor="accent6" w:themeShade="BF"/>
          <w:sz w:val="24"/>
          <w:szCs w:val="24"/>
        </w:rPr>
        <w:t>Grafiku Nr.2</w:t>
      </w:r>
    </w:p>
    <w:p w:rsidR="00CA7CDB" w:rsidRPr="00251B7E" w:rsidRDefault="006B34AB" w:rsidP="00251B7E">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CA7CDB" w:rsidRPr="00251B7E">
        <w:rPr>
          <w:rFonts w:ascii="Times New Roman" w:hAnsi="Times New Roman" w:cs="Times New Roman"/>
          <w:b/>
          <w:color w:val="7D4D98" w:themeColor="accent6" w:themeShade="BF"/>
          <w:sz w:val="24"/>
          <w:szCs w:val="24"/>
        </w:rPr>
        <w:t>(Numri i –trajnimeve sipas muajve, për vitin akademik 2015-2016)</w:t>
      </w:r>
    </w:p>
    <w:p w:rsidR="00CA7CDB" w:rsidRPr="00251B7E" w:rsidRDefault="00CA7CDB" w:rsidP="00251B7E">
      <w:pPr>
        <w:jc w:val="both"/>
        <w:rPr>
          <w:rFonts w:ascii="Bookman Old Style" w:hAnsi="Bookman Old Style" w:cs="Calibri"/>
        </w:rPr>
      </w:pPr>
      <w:r w:rsidRPr="00EA76BB">
        <w:rPr>
          <w:rFonts w:ascii="Bookman Old Style" w:hAnsi="Bookman Old Style" w:cs="Calibri"/>
        </w:rPr>
        <w:t xml:space="preserve">Grafiku Nr.2, paraqet në pamje vizuale fluksin e trajnimeve në çdo muaj të vitit akademik. Bazuar në Tabelën Nr. 1 si dhe nga Grafiku Nr. 9, vihet re një mbingarkesë e kalendarit dhe programit gjatë muajve Dhjetor  (me 13 aktivitete në total), muajit Mars (me 12 aktivitete në total), muajit Prill (me 14 aktivitete në total) dhe muajit Qershor (me 12 aktivitete në total). Nisur nga mjediset tepër të limituara të Shkollës, për një pjesë të trajnimeve është përdorur salla e gjyqit imitues ose edhe auditori i kandidatëve-magjistratë, por nëse aktiviteti ka pasur mbështetje me donatorë është përdorur një mjedis jashtë shkollës. </w:t>
      </w:r>
    </w:p>
    <w:p w:rsidR="00CA7CDB" w:rsidRDefault="00CA7CDB" w:rsidP="00CA7CDB">
      <w:pPr>
        <w:jc w:val="center"/>
        <w:rPr>
          <w:rFonts w:ascii="Bookman Old Style" w:hAnsi="Bookman Old Style" w:cs="Calibri"/>
          <w:b/>
          <w:i/>
          <w:noProof/>
          <w:color w:val="000080"/>
        </w:rPr>
      </w:pPr>
      <w:r>
        <w:rPr>
          <w:noProof/>
          <w:lang w:val="en-GB" w:eastAsia="en-GB"/>
        </w:rPr>
        <w:drawing>
          <wp:anchor distT="0" distB="0" distL="114300" distR="114300" simplePos="0" relativeHeight="251658752" behindDoc="1" locked="0" layoutInCell="1" allowOverlap="1">
            <wp:simplePos x="0" y="0"/>
            <wp:positionH relativeFrom="column">
              <wp:posOffset>716280</wp:posOffset>
            </wp:positionH>
            <wp:positionV relativeFrom="paragraph">
              <wp:posOffset>19685</wp:posOffset>
            </wp:positionV>
            <wp:extent cx="5148580" cy="3001010"/>
            <wp:effectExtent l="0" t="0" r="0" b="0"/>
            <wp:wrapTight wrapText="bothSides">
              <wp:wrapPolygon edited="0">
                <wp:start x="0" y="0"/>
                <wp:lineTo x="0" y="21527"/>
                <wp:lineTo x="21579" y="21527"/>
                <wp:lineTo x="21579" y="0"/>
                <wp:lineTo x="0" y="0"/>
              </wp:wrapPolygon>
            </wp:wrapTight>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CA7CDB" w:rsidRPr="00EA76BB" w:rsidRDefault="00CA7CDB" w:rsidP="00CA7CDB">
      <w:pPr>
        <w:jc w:val="center"/>
        <w:rPr>
          <w:rFonts w:ascii="Bookman Old Style" w:hAnsi="Bookman Old Style" w:cs="Calibri"/>
          <w:b/>
          <w:i/>
          <w:noProof/>
          <w:color w:val="000080"/>
        </w:rPr>
      </w:pPr>
    </w:p>
    <w:p w:rsidR="00CA7CDB" w:rsidRPr="00EA76BB" w:rsidRDefault="00CA7CDB" w:rsidP="00CA7CDB">
      <w:pPr>
        <w:rPr>
          <w:rFonts w:ascii="Bookman Old Style" w:hAnsi="Bookman Old Style" w:cs="Calibri"/>
          <w:b/>
          <w:i/>
          <w:noProof/>
          <w:color w:val="000080"/>
        </w:rPr>
      </w:pPr>
    </w:p>
    <w:p w:rsidR="00CA7CDB" w:rsidRPr="00EA76BB" w:rsidRDefault="00CA7CDB" w:rsidP="00CA7CDB">
      <w:pPr>
        <w:jc w:val="center"/>
        <w:rPr>
          <w:rFonts w:ascii="Bookman Old Style" w:hAnsi="Bookman Old Style" w:cs="Calibri"/>
          <w:b/>
          <w:i/>
          <w:noProof/>
          <w:color w:val="000080"/>
        </w:rPr>
      </w:pPr>
    </w:p>
    <w:p w:rsidR="00CA7CDB" w:rsidRPr="00EA76BB" w:rsidRDefault="00CA7CDB" w:rsidP="00CA7CDB">
      <w:pPr>
        <w:jc w:val="center"/>
        <w:rPr>
          <w:rFonts w:ascii="Bookman Old Style" w:hAnsi="Bookman Old Style" w:cs="Calibri"/>
          <w:b/>
          <w:i/>
          <w:noProof/>
          <w:color w:val="000080"/>
        </w:rPr>
      </w:pPr>
    </w:p>
    <w:p w:rsidR="00CA7CDB" w:rsidRDefault="00CA7CDB" w:rsidP="00CA7CDB">
      <w:pPr>
        <w:jc w:val="center"/>
        <w:rPr>
          <w:rFonts w:ascii="Bookman Old Style" w:hAnsi="Bookman Old Style" w:cs="Calibri"/>
          <w:b/>
          <w:i/>
          <w:noProof/>
          <w:color w:val="000080"/>
        </w:rPr>
      </w:pPr>
    </w:p>
    <w:p w:rsidR="00CA7CDB" w:rsidRPr="00EA76BB" w:rsidRDefault="00CA7CDB" w:rsidP="00CA7CDB">
      <w:pPr>
        <w:jc w:val="center"/>
        <w:rPr>
          <w:rFonts w:ascii="Bookman Old Style" w:hAnsi="Bookman Old Style" w:cs="Calibri"/>
          <w:b/>
          <w:i/>
          <w:noProof/>
          <w:color w:val="000080"/>
        </w:rPr>
      </w:pPr>
    </w:p>
    <w:p w:rsidR="00CA7CDB" w:rsidRDefault="00CA7CDB" w:rsidP="00CA7CDB">
      <w:pPr>
        <w:tabs>
          <w:tab w:val="left" w:pos="7650"/>
        </w:tabs>
        <w:jc w:val="both"/>
        <w:rPr>
          <w:rFonts w:ascii="Bookman Old Style" w:hAnsi="Bookman Old Style" w:cs="Calibri"/>
        </w:rPr>
      </w:pPr>
    </w:p>
    <w:p w:rsidR="00CA7CDB" w:rsidRDefault="006B34AB" w:rsidP="00CA7CDB">
      <w:pPr>
        <w:tabs>
          <w:tab w:val="left" w:pos="7650"/>
        </w:tabs>
        <w:jc w:val="both"/>
        <w:rPr>
          <w:rFonts w:ascii="Bookman Old Style" w:hAnsi="Bookman Old Style" w:cs="Calibri"/>
        </w:rPr>
      </w:pPr>
      <w:r>
        <w:rPr>
          <w:rFonts w:ascii="Bookman Old Style" w:hAnsi="Bookman Old Style" w:cs="Calibri"/>
        </w:rPr>
        <w:t xml:space="preserve">                   </w:t>
      </w:r>
    </w:p>
    <w:p w:rsidR="00251B7E" w:rsidRDefault="00251B7E" w:rsidP="00CA7CDB">
      <w:pPr>
        <w:tabs>
          <w:tab w:val="left" w:pos="7650"/>
        </w:tabs>
        <w:jc w:val="both"/>
        <w:rPr>
          <w:rFonts w:ascii="Bookman Old Style" w:hAnsi="Bookman Old Style" w:cs="Calibri"/>
        </w:rPr>
      </w:pPr>
    </w:p>
    <w:p w:rsidR="00251B7E" w:rsidRPr="00251B7E" w:rsidRDefault="006B34AB" w:rsidP="00251B7E">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251B7E" w:rsidRPr="00251B7E">
        <w:rPr>
          <w:rFonts w:ascii="Times New Roman" w:hAnsi="Times New Roman" w:cs="Times New Roman"/>
          <w:b/>
          <w:color w:val="7D4D98" w:themeColor="accent6" w:themeShade="BF"/>
          <w:sz w:val="24"/>
          <w:szCs w:val="24"/>
        </w:rPr>
        <w:t>Grafiku Nr.3</w:t>
      </w:r>
    </w:p>
    <w:p w:rsidR="00251B7E" w:rsidRPr="00251B7E" w:rsidRDefault="006B34AB" w:rsidP="00251B7E">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lastRenderedPageBreak/>
        <w:t xml:space="preserve">                      </w:t>
      </w:r>
      <w:r w:rsidR="00251B7E" w:rsidRPr="00251B7E">
        <w:rPr>
          <w:rFonts w:ascii="Times New Roman" w:hAnsi="Times New Roman" w:cs="Times New Roman"/>
          <w:b/>
          <w:color w:val="7D4D98" w:themeColor="accent6" w:themeShade="BF"/>
          <w:sz w:val="24"/>
          <w:szCs w:val="24"/>
        </w:rPr>
        <w:t>(Pjesëmarrja sipas temave/kurseve në aktivitetet e vitit akademik 2015-2016)</w:t>
      </w:r>
    </w:p>
    <w:p w:rsidR="00251B7E" w:rsidRDefault="00251B7E" w:rsidP="00CA7CDB">
      <w:pPr>
        <w:tabs>
          <w:tab w:val="left" w:pos="7650"/>
        </w:tabs>
        <w:jc w:val="both"/>
        <w:rPr>
          <w:rFonts w:ascii="Bookman Old Style" w:hAnsi="Bookman Old Style" w:cs="Calibri"/>
        </w:rPr>
      </w:pPr>
    </w:p>
    <w:p w:rsidR="00CA7CDB" w:rsidRPr="00EA76BB" w:rsidRDefault="00CA7CDB" w:rsidP="00CA7CDB">
      <w:pPr>
        <w:tabs>
          <w:tab w:val="left" w:pos="7650"/>
        </w:tabs>
        <w:jc w:val="both"/>
        <w:rPr>
          <w:rFonts w:ascii="Bookman Old Style" w:hAnsi="Bookman Old Style" w:cs="Calibri"/>
        </w:rPr>
      </w:pPr>
      <w:r w:rsidRPr="00EA76BB">
        <w:rPr>
          <w:rFonts w:ascii="Bookman Old Style" w:hAnsi="Bookman Old Style" w:cs="Calibri"/>
        </w:rPr>
        <w:t xml:space="preserve">Përgjithësisht, pjesa më e madhe e temave janë ato që ndodhen në variantin e publikuar të PFV, por pavarësisht nga kjo, falë elasticitetit dhe hapësirave që krijon programi dhe kalendari, tema të reja u përfshinë si pjesë integrale e tij duke iu përgjigjur edhe kërkesave të reja edhe bashkëpunimit me partnerët ndërkombëtarë.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Grafiku Nr. 3 synon të japë detajimin e pjesëmarrësve në shifra dhe përqindje lidhur me frekuentimin e aktiviteteve trajnuese jo vetëm të gjyqtarëve dhe prokurorëve, por edhe të kategorisë të tjerë ku përfshihem: oficerë të policisë gjyqësore, kandidatëve për magjistratë, juristë, administrate gjyqësore etj. Një informacion edhe më i detajuar lidhur me fushën e trajnimit, temën specifike, kohën e zhvillimit të aktivitetit, numrin e pjesëmarrësve </w:t>
      </w:r>
      <w:r>
        <w:rPr>
          <w:rFonts w:ascii="Bookman Old Style" w:hAnsi="Bookman Old Style" w:cs="Calibri"/>
        </w:rPr>
        <w:t>aplikues</w:t>
      </w:r>
      <w:r w:rsidRPr="00EA76BB">
        <w:rPr>
          <w:rFonts w:ascii="Bookman Old Style" w:hAnsi="Bookman Old Style" w:cs="Calibri"/>
        </w:rPr>
        <w:t xml:space="preserve"> dhe të atyre që u pajisën me certifikatë mund të gjendet me lehtësi në tabelat anekse që i janë bashkëngjitur këtij raporti.</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Programi në përm</w:t>
      </w:r>
      <w:r>
        <w:rPr>
          <w:rFonts w:ascii="Bookman Old Style" w:hAnsi="Bookman Old Style" w:cs="Calibri"/>
        </w:rPr>
        <w:t xml:space="preserve">bajtjen e vet ka përfshirë një </w:t>
      </w:r>
      <w:r w:rsidRPr="00EA76BB">
        <w:rPr>
          <w:rFonts w:ascii="Bookman Old Style" w:hAnsi="Bookman Old Style" w:cs="Calibri"/>
        </w:rPr>
        <w:t xml:space="preserve">tematikë shumë të gjerë dhe të larmishme në pothuaj pjesën më të madhe të fushave të së drejtës dhe të problematikës praktike, por edhe të proceseve të reformës në sistemin e drejtësisë dhe të proceseve të harmonizimit dhe të përqasjes, të cilat kërkojnë një reagim në kohë prej gjyqtarëve dhe prokurorëve me standardet e BE. Ky program i larmishëm tematik nxiti pjesëmarrjen e një numri të konsiderueshëm të gjyqtarëve dhe prokurorëve. Grafikët e paraqitur demonstrojnë në mënyrë statistikore frekuentimin e sesioneve trajnuese të vitit akademik 2015-2016.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Aktiviteti trajnues dhe cilësia e tij janë të lidhura ngushtësisht me cilësinë e ekspertizës. Sa i përket grupit të trajnuesve dhe pozicionit profesional të tyre, për këtë na ndihmon grafiku Nr. 4. Shkolla e Magjistraturës dhe Këshilli Drejtues ka bërë shumë kujdes që të përzgjedhë me cilësinë e ekspertit profesionistët më në zë të fushave të caktuara, por edhe të pajisur me aftësi pedagogjike që kanë të bëjnë me formimin profesional.</w:t>
      </w:r>
    </w:p>
    <w:p w:rsidR="00CA7CDB" w:rsidRPr="00EA76BB" w:rsidRDefault="006B34AB" w:rsidP="00CA7CDB">
      <w:pPr>
        <w:jc w:val="both"/>
        <w:rPr>
          <w:rFonts w:ascii="Bookman Old Style" w:hAnsi="Bookman Old Style" w:cs="Calibri"/>
        </w:rPr>
      </w:pPr>
      <w:r>
        <w:rPr>
          <w:rFonts w:ascii="Bookman Old Style" w:hAnsi="Bookman Old Style" w:cs="Calibri"/>
        </w:rPr>
        <w:lastRenderedPageBreak/>
        <w:t xml:space="preserve">             </w:t>
      </w:r>
      <w:r w:rsidR="00CA7CDB" w:rsidRPr="00A21A1B">
        <w:rPr>
          <w:noProof/>
          <w:lang w:val="en-GB" w:eastAsia="en-GB"/>
        </w:rPr>
        <w:drawing>
          <wp:inline distT="0" distB="0" distL="0" distR="0">
            <wp:extent cx="5514975" cy="3209925"/>
            <wp:effectExtent l="0" t="0" r="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A7CDB" w:rsidRPr="00251B7E" w:rsidRDefault="006B34AB" w:rsidP="00251B7E">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CA7CDB" w:rsidRPr="00251B7E">
        <w:rPr>
          <w:rFonts w:ascii="Times New Roman" w:hAnsi="Times New Roman" w:cs="Times New Roman"/>
          <w:b/>
          <w:color w:val="7D4D98" w:themeColor="accent6" w:themeShade="BF"/>
          <w:sz w:val="24"/>
          <w:szCs w:val="24"/>
        </w:rPr>
        <w:t>Grafiku Nr.4</w:t>
      </w:r>
    </w:p>
    <w:p w:rsidR="00CA7CDB" w:rsidRDefault="00CA7CDB" w:rsidP="00251B7E">
      <w:pPr>
        <w:spacing w:after="0"/>
        <w:rPr>
          <w:rFonts w:ascii="Times New Roman" w:hAnsi="Times New Roman" w:cs="Times New Roman"/>
          <w:b/>
          <w:color w:val="7D4D98" w:themeColor="accent6" w:themeShade="BF"/>
          <w:sz w:val="24"/>
          <w:szCs w:val="24"/>
        </w:rPr>
      </w:pPr>
      <w:r w:rsidRPr="00251B7E">
        <w:rPr>
          <w:rFonts w:ascii="Times New Roman" w:hAnsi="Times New Roman" w:cs="Times New Roman"/>
          <w:b/>
          <w:color w:val="7D4D98" w:themeColor="accent6" w:themeShade="BF"/>
          <w:sz w:val="24"/>
          <w:szCs w:val="24"/>
        </w:rPr>
        <w:t xml:space="preserve"> </w:t>
      </w:r>
      <w:r w:rsidR="006B34AB">
        <w:rPr>
          <w:rFonts w:ascii="Times New Roman" w:hAnsi="Times New Roman" w:cs="Times New Roman"/>
          <w:b/>
          <w:color w:val="7D4D98" w:themeColor="accent6" w:themeShade="BF"/>
          <w:sz w:val="24"/>
          <w:szCs w:val="24"/>
        </w:rPr>
        <w:t xml:space="preserve">                       </w:t>
      </w:r>
      <w:r w:rsidRPr="00251B7E">
        <w:rPr>
          <w:rFonts w:ascii="Times New Roman" w:hAnsi="Times New Roman" w:cs="Times New Roman"/>
          <w:b/>
          <w:color w:val="7D4D98" w:themeColor="accent6" w:themeShade="BF"/>
          <w:sz w:val="24"/>
          <w:szCs w:val="24"/>
        </w:rPr>
        <w:t>(Ekspertët shqiptarë sipas kategorive, viti akademik 2015-2016)</w:t>
      </w:r>
    </w:p>
    <w:p w:rsidR="00251B7E" w:rsidRPr="00251B7E" w:rsidRDefault="00251B7E" w:rsidP="00251B7E">
      <w:pPr>
        <w:spacing w:after="0"/>
        <w:rPr>
          <w:rFonts w:ascii="Times New Roman" w:hAnsi="Times New Roman" w:cs="Times New Roman"/>
          <w:b/>
          <w:color w:val="7D4D98" w:themeColor="accent6" w:themeShade="BF"/>
          <w:sz w:val="24"/>
          <w:szCs w:val="24"/>
        </w:rPr>
      </w:pPr>
    </w:p>
    <w:p w:rsidR="00CA7CDB" w:rsidRPr="00EA76BB" w:rsidRDefault="00CA7CDB" w:rsidP="00CA7CDB">
      <w:pPr>
        <w:jc w:val="both"/>
        <w:rPr>
          <w:rFonts w:ascii="Bookman Old Style" w:eastAsia="Times New Roman" w:hAnsi="Bookman Old Style"/>
        </w:rPr>
      </w:pPr>
      <w:r w:rsidRPr="00EA76BB">
        <w:rPr>
          <w:rFonts w:ascii="Bookman Old Style" w:hAnsi="Bookman Old Style" w:cs="Calibri"/>
        </w:rPr>
        <w:t xml:space="preserve">Kjo është arsyeja që asnjë kandidat-ekspert nuk caktohet pa marrë mendimin e Këshillit Drejtues. Në vijimësi Shkolla ka bërë kujdes që të përfshijë në listë ekspertë të rinj  krahas atyre me përvojë. </w:t>
      </w:r>
      <w:r w:rsidRPr="00EA76BB">
        <w:rPr>
          <w:rFonts w:ascii="Bookman Old Style" w:eastAsia="Times New Roman" w:hAnsi="Bookman Old Style"/>
        </w:rPr>
        <w:t xml:space="preserve">Gjithashtu, një vëmendje dhe kujdes i veçantë i kushtohet edhe përzgjedhjes dhe caktimit të lehtësuesve dhe moderatorëve. Pra, në procesin e formimit vazhdues aktivizohen edhe moderatorët, që kujdesen për mbarëvajtjen e aktivitetit trajnues në tërësi, organizimin dhe drejtimin e diskutimeve dhe debateve në seminaret e trajnimit vazhdues, interaktivitetin e pjesëmarrësve me njëri-tjetrin dhe të tyre me trajnuesit. Gjithashtu, në aktivitetet e formimit vazhdues aktivizohen edhe lehtësuesit, të cilët mbështesin ekspertët për përgatitjen e rasteve praktike dhe të pistave të diskutimit.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Ndërkohë i njëjti kujdes është kushtuar edhe në rastin e ekspertizës së huaj, e cila ofrohet dhe mbështetet nga partnerë ndërkombëtarë. Nisur nga kujdesi i vazhdueshëm për të pasur sa më shumë profesionistë të zbatimit të së drejtës dhe dhënies së drejtësisë, vihet re që në grafikun e të dhënave lidhur me ekspertizën këta zënë edhe vendin kryesor. Kështu, </w:t>
      </w:r>
      <w:r w:rsidRPr="00F91F65">
        <w:rPr>
          <w:rFonts w:ascii="Bookman Old Style" w:hAnsi="Bookman Old Style" w:cs="Calibri"/>
          <w:b/>
        </w:rPr>
        <w:t>65 % vijnë nga gjyqësori dhe prokuroria</w:t>
      </w:r>
      <w:r w:rsidRPr="00EA76BB">
        <w:rPr>
          <w:rFonts w:ascii="Bookman Old Style" w:hAnsi="Bookman Old Style" w:cs="Calibri"/>
        </w:rPr>
        <w:t>. Pjesa tjetër janë avokatë, pedagogë etj. Gjithnjë ka një kombinim të ekspertëve duke qasur standardet teorike me ato praktike.</w:t>
      </w:r>
    </w:p>
    <w:p w:rsidR="00CA7CDB" w:rsidRPr="00D65DAB" w:rsidRDefault="00D65DAB" w:rsidP="00D65DAB">
      <w:pPr>
        <w:jc w:val="both"/>
        <w:rPr>
          <w:rFonts w:ascii="Bookman Old Style" w:hAnsi="Bookman Old Style"/>
          <w:b/>
          <w:bCs/>
          <w:color w:val="372971" w:themeColor="accent5" w:themeShade="80"/>
          <w:sz w:val="24"/>
          <w:szCs w:val="24"/>
        </w:rPr>
      </w:pPr>
      <w:bookmarkStart w:id="15" w:name="OLE_LINK2"/>
      <w:bookmarkStart w:id="16" w:name="OLE_LINK3"/>
      <w:r>
        <w:rPr>
          <w:rFonts w:ascii="Bookman Old Style" w:hAnsi="Bookman Old Style"/>
          <w:b/>
          <w:bCs/>
          <w:color w:val="372971" w:themeColor="accent5" w:themeShade="80"/>
          <w:sz w:val="24"/>
          <w:szCs w:val="24"/>
        </w:rPr>
        <w:t>2.3</w:t>
      </w:r>
      <w:r w:rsidR="00CA7CDB" w:rsidRPr="00D65DAB">
        <w:rPr>
          <w:rFonts w:ascii="Bookman Old Style" w:hAnsi="Bookman Old Style"/>
          <w:b/>
          <w:bCs/>
          <w:color w:val="372971" w:themeColor="accent5" w:themeShade="80"/>
          <w:sz w:val="24"/>
          <w:szCs w:val="24"/>
        </w:rPr>
        <w:t xml:space="preserve">. Organizimi i sesioneve trajnuese dhe rezultatet </w:t>
      </w:r>
    </w:p>
    <w:bookmarkEnd w:id="15"/>
    <w:bookmarkEnd w:id="16"/>
    <w:p w:rsidR="00251B7E" w:rsidRPr="00251B7E" w:rsidRDefault="00251B7E" w:rsidP="00251B7E">
      <w:pPr>
        <w:pStyle w:val="ListParagraph"/>
        <w:numPr>
          <w:ilvl w:val="0"/>
          <w:numId w:val="2"/>
        </w:numPr>
        <w:spacing w:after="0" w:line="240" w:lineRule="auto"/>
        <w:jc w:val="both"/>
        <w:rPr>
          <w:rFonts w:ascii="Bookman Old Style" w:eastAsiaTheme="minorEastAsia" w:hAnsi="Bookman Old Style" w:cstheme="minorBidi"/>
          <w:b/>
          <w:vanish/>
          <w:color w:val="7030A0"/>
          <w:sz w:val="24"/>
          <w:szCs w:val="24"/>
          <w:lang w:val="en-US"/>
        </w:rPr>
      </w:pPr>
    </w:p>
    <w:p w:rsidR="00251B7E" w:rsidRPr="00251B7E" w:rsidRDefault="00251B7E" w:rsidP="00251B7E">
      <w:pPr>
        <w:pStyle w:val="ListParagraph"/>
        <w:numPr>
          <w:ilvl w:val="1"/>
          <w:numId w:val="2"/>
        </w:numPr>
        <w:spacing w:after="0" w:line="240" w:lineRule="auto"/>
        <w:jc w:val="both"/>
        <w:rPr>
          <w:rFonts w:ascii="Bookman Old Style" w:eastAsiaTheme="minorEastAsia" w:hAnsi="Bookman Old Style" w:cstheme="minorBidi"/>
          <w:b/>
          <w:vanish/>
          <w:color w:val="7030A0"/>
          <w:sz w:val="24"/>
          <w:szCs w:val="24"/>
          <w:lang w:val="en-US"/>
        </w:rPr>
      </w:pPr>
    </w:p>
    <w:p w:rsidR="00251B7E" w:rsidRPr="00251B7E" w:rsidRDefault="00251B7E" w:rsidP="00251B7E">
      <w:pPr>
        <w:pStyle w:val="ListParagraph"/>
        <w:numPr>
          <w:ilvl w:val="1"/>
          <w:numId w:val="2"/>
        </w:numPr>
        <w:spacing w:after="0" w:line="240" w:lineRule="auto"/>
        <w:jc w:val="both"/>
        <w:rPr>
          <w:rFonts w:ascii="Bookman Old Style" w:eastAsiaTheme="minorEastAsia" w:hAnsi="Bookman Old Style" w:cstheme="minorBidi"/>
          <w:b/>
          <w:vanish/>
          <w:color w:val="7030A0"/>
          <w:sz w:val="24"/>
          <w:szCs w:val="24"/>
          <w:lang w:val="en-US"/>
        </w:rPr>
      </w:pPr>
    </w:p>
    <w:p w:rsidR="00251B7E" w:rsidRPr="00251B7E" w:rsidRDefault="00251B7E" w:rsidP="00251B7E">
      <w:pPr>
        <w:pStyle w:val="ListParagraph"/>
        <w:numPr>
          <w:ilvl w:val="1"/>
          <w:numId w:val="2"/>
        </w:numPr>
        <w:spacing w:after="0" w:line="240" w:lineRule="auto"/>
        <w:jc w:val="both"/>
        <w:rPr>
          <w:rFonts w:ascii="Bookman Old Style" w:eastAsiaTheme="minorEastAsia" w:hAnsi="Bookman Old Style" w:cstheme="minorBidi"/>
          <w:b/>
          <w:vanish/>
          <w:color w:val="7030A0"/>
          <w:sz w:val="24"/>
          <w:szCs w:val="24"/>
          <w:lang w:val="en-US"/>
        </w:rPr>
      </w:pPr>
    </w:p>
    <w:p w:rsidR="00CA7CDB" w:rsidRDefault="00CA7CDB" w:rsidP="00251B7E">
      <w:pPr>
        <w:numPr>
          <w:ilvl w:val="2"/>
          <w:numId w:val="2"/>
        </w:numPr>
        <w:spacing w:after="0" w:line="240" w:lineRule="auto"/>
        <w:jc w:val="both"/>
        <w:rPr>
          <w:rFonts w:ascii="Bookman Old Style" w:hAnsi="Bookman Old Style"/>
          <w:b/>
          <w:color w:val="7030A0"/>
          <w:sz w:val="24"/>
          <w:szCs w:val="24"/>
        </w:rPr>
      </w:pPr>
      <w:r w:rsidRPr="00251B7E">
        <w:rPr>
          <w:rFonts w:ascii="Bookman Old Style" w:hAnsi="Bookman Old Style"/>
          <w:b/>
          <w:color w:val="7030A0"/>
          <w:sz w:val="24"/>
          <w:szCs w:val="24"/>
        </w:rPr>
        <w:t>Auditori</w:t>
      </w:r>
    </w:p>
    <w:p w:rsidR="00251B7E" w:rsidRPr="00251B7E" w:rsidRDefault="00251B7E" w:rsidP="00251B7E">
      <w:pPr>
        <w:spacing w:after="0" w:line="240" w:lineRule="auto"/>
        <w:ind w:left="930"/>
        <w:jc w:val="both"/>
        <w:rPr>
          <w:rFonts w:ascii="Bookman Old Style" w:hAnsi="Bookman Old Style"/>
          <w:b/>
          <w:color w:val="7030A0"/>
          <w:sz w:val="24"/>
          <w:szCs w:val="24"/>
        </w:rPr>
      </w:pPr>
    </w:p>
    <w:p w:rsidR="00CA7CDB" w:rsidRPr="00EA76BB" w:rsidRDefault="00CA7CDB" w:rsidP="00CA7CDB">
      <w:pPr>
        <w:jc w:val="both"/>
        <w:rPr>
          <w:rFonts w:ascii="Bookman Old Style" w:hAnsi="Bookman Old Style" w:cs="Calibri"/>
        </w:rPr>
      </w:pPr>
      <w:r w:rsidRPr="00EA76BB">
        <w:rPr>
          <w:rFonts w:ascii="Bookman Old Style" w:hAnsi="Bookman Old Style" w:cs="Calibri"/>
        </w:rPr>
        <w:lastRenderedPageBreak/>
        <w:t>Për efekt të këtij raportimi të përvitshëm, disa nga informacionet janë thuajse të njëjta. Kjo sepse disa standarde nuk janë risi dhe për më tepër funksionojnë siç duhet, e disa elementë edhe përmirësohen në vijimësi. Për efekte informimi po e paraqesim edhe në vijim:</w:t>
      </w:r>
    </w:p>
    <w:p w:rsidR="00CA7CDB" w:rsidRPr="00EA76BB" w:rsidRDefault="00CA7CDB" w:rsidP="003C4BF1">
      <w:pPr>
        <w:numPr>
          <w:ilvl w:val="0"/>
          <w:numId w:val="31"/>
        </w:numPr>
        <w:tabs>
          <w:tab w:val="clear" w:pos="720"/>
        </w:tabs>
        <w:ind w:left="360"/>
        <w:jc w:val="both"/>
        <w:rPr>
          <w:rFonts w:ascii="Bookman Old Style" w:hAnsi="Bookman Old Style" w:cs="Calibri"/>
        </w:rPr>
      </w:pPr>
      <w:r w:rsidRPr="00EA76BB">
        <w:rPr>
          <w:rFonts w:ascii="Bookman Old Style" w:hAnsi="Bookman Old Style" w:cs="Calibri"/>
        </w:rPr>
        <w:t xml:space="preserve">Tematika e kalendarit vjetor i dërgohet çdo kryetari gjykate dhe prokurorie në nivel rrethi dhe apeli. Bashkë me të atyre ju bëhet një rikujtesë e detyrimeve që burojnë nga Ligji “Për Shkollën e Magjistraturës” lidhur me përfshirjen e tyre institucionale në procesin e përzgjedhjes së pjesëmarrësve për PFV. </w:t>
      </w:r>
    </w:p>
    <w:p w:rsidR="00CA7CDB" w:rsidRPr="00EA76BB" w:rsidRDefault="00CA7CDB" w:rsidP="003C4BF1">
      <w:pPr>
        <w:numPr>
          <w:ilvl w:val="0"/>
          <w:numId w:val="31"/>
        </w:numPr>
        <w:tabs>
          <w:tab w:val="clear" w:pos="720"/>
        </w:tabs>
        <w:ind w:left="360"/>
        <w:jc w:val="both"/>
        <w:rPr>
          <w:rFonts w:ascii="Bookman Old Style" w:hAnsi="Bookman Old Style" w:cs="Calibri"/>
        </w:rPr>
      </w:pPr>
      <w:r w:rsidRPr="00EA76BB">
        <w:rPr>
          <w:rFonts w:ascii="Bookman Old Style" w:hAnsi="Bookman Old Style" w:cs="Calibri"/>
        </w:rPr>
        <w:t>Shoqërimi i sa më sipër me një formular aplikimi për çdo gjyqtar e prokuror të gjykatave dhe prokurorive të rretheve dhe të apeleve. Edhe ky formular me rikujtesën, që të bëjnë kujdes të mos përzgjedhin të njëjtin trajnim dhe të mbajnë parasysh detyrimin e nenin 23 lidhur me ditët e trajnimit në vit dhe në 5 vjet.</w:t>
      </w:r>
    </w:p>
    <w:p w:rsidR="00CA7CDB" w:rsidRPr="00EA76BB" w:rsidRDefault="00CA7CDB" w:rsidP="003C4BF1">
      <w:pPr>
        <w:numPr>
          <w:ilvl w:val="0"/>
          <w:numId w:val="31"/>
        </w:numPr>
        <w:tabs>
          <w:tab w:val="clear" w:pos="720"/>
        </w:tabs>
        <w:ind w:left="360"/>
        <w:jc w:val="both"/>
        <w:rPr>
          <w:rFonts w:ascii="Bookman Old Style" w:hAnsi="Bookman Old Style" w:cs="Calibri"/>
        </w:rPr>
      </w:pPr>
      <w:r w:rsidRPr="00EA76BB">
        <w:rPr>
          <w:rFonts w:ascii="Bookman Old Style" w:hAnsi="Bookman Old Style" w:cs="Calibri"/>
        </w:rPr>
        <w:t>Formularët me përgjigjet e kurseve të përzgjedhura administrohen nga Shkolla, konkretisht Departamenti i Formimit Profesional dhe hartohen listat e pjesëmarrësve për çdo kurs trajnimi.</w:t>
      </w:r>
    </w:p>
    <w:p w:rsidR="00CA7CDB" w:rsidRPr="00EA76BB" w:rsidRDefault="00CA7CDB" w:rsidP="003C4BF1">
      <w:pPr>
        <w:numPr>
          <w:ilvl w:val="0"/>
          <w:numId w:val="31"/>
        </w:numPr>
        <w:tabs>
          <w:tab w:val="clear" w:pos="720"/>
        </w:tabs>
        <w:ind w:left="360"/>
        <w:jc w:val="both"/>
        <w:rPr>
          <w:rFonts w:ascii="Bookman Old Style" w:hAnsi="Bookman Old Style" w:cs="Calibri"/>
        </w:rPr>
      </w:pPr>
      <w:r w:rsidRPr="00EA76BB">
        <w:rPr>
          <w:rFonts w:ascii="Bookman Old Style" w:hAnsi="Bookman Old Style" w:cs="Calibri"/>
        </w:rPr>
        <w:t>Përcaktimi i numrit të sesioneve në varësi të numrit të aplikuesve.</w:t>
      </w:r>
    </w:p>
    <w:p w:rsidR="00CA7CDB" w:rsidRPr="00EA76BB" w:rsidRDefault="00CA7CDB" w:rsidP="003C4BF1">
      <w:pPr>
        <w:numPr>
          <w:ilvl w:val="0"/>
          <w:numId w:val="31"/>
        </w:numPr>
        <w:tabs>
          <w:tab w:val="clear" w:pos="720"/>
        </w:tabs>
        <w:ind w:left="360"/>
        <w:jc w:val="both"/>
        <w:rPr>
          <w:rFonts w:ascii="Bookman Old Style" w:hAnsi="Bookman Old Style" w:cs="Calibri"/>
        </w:rPr>
      </w:pPr>
      <w:r w:rsidRPr="00EA76BB">
        <w:rPr>
          <w:rFonts w:ascii="Bookman Old Style" w:hAnsi="Bookman Old Style" w:cs="Calibri"/>
        </w:rPr>
        <w:t>Dërgimi i listave për çdo sesion për miratim nga KLD për gjyqtarët dhe Prokurori i Përgjithshëm për prokurorët dhe miratimi i tyre.</w:t>
      </w:r>
    </w:p>
    <w:p w:rsidR="00CA7CDB" w:rsidRPr="00EA76BB" w:rsidRDefault="006B34AB" w:rsidP="00CA7CDB">
      <w:pPr>
        <w:rPr>
          <w:rFonts w:ascii="Bookman Old Style" w:hAnsi="Bookman Old Style" w:cs="Calibri"/>
        </w:rPr>
      </w:pPr>
      <w:r>
        <w:rPr>
          <w:rFonts w:ascii="Bookman Old Style" w:hAnsi="Bookman Old Style" w:cs="Calibri"/>
        </w:rPr>
        <w:t xml:space="preserve">                                  </w:t>
      </w:r>
      <w:r w:rsidR="00CA7CDB" w:rsidRPr="00A21A1B">
        <w:rPr>
          <w:rFonts w:ascii="Bookman Old Style" w:hAnsi="Bookman Old Style" w:cs="Calibri"/>
          <w:noProof/>
          <w:lang w:val="en-GB" w:eastAsia="en-GB"/>
        </w:rPr>
        <w:drawing>
          <wp:inline distT="0" distB="0" distL="0" distR="0">
            <wp:extent cx="3714750" cy="1866900"/>
            <wp:effectExtent l="0" t="0" r="0" b="0"/>
            <wp:docPr id="19" name="Picture 19" descr="Etika profesionale 2-4 Mar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ika profesionale 2-4 Mars 2015"/>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904"/>
                    <a:stretch/>
                  </pic:blipFill>
                  <pic:spPr bwMode="auto">
                    <a:xfrm>
                      <a:off x="0" y="0"/>
                      <a:ext cx="3714750" cy="18669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7CDB" w:rsidRPr="00EA76BB" w:rsidRDefault="00CA7CDB" w:rsidP="00CA7CDB">
      <w:pPr>
        <w:spacing w:after="0" w:line="240" w:lineRule="auto"/>
        <w:jc w:val="both"/>
        <w:rPr>
          <w:rFonts w:ascii="Bookman Old Style" w:eastAsia="Times New Roman" w:hAnsi="Bookman Old Style"/>
        </w:rPr>
      </w:pPr>
    </w:p>
    <w:p w:rsidR="00CA7CDB" w:rsidRPr="00EA76BB" w:rsidRDefault="00CA7CDB" w:rsidP="00CA7CDB">
      <w:pPr>
        <w:spacing w:after="0" w:line="240" w:lineRule="auto"/>
        <w:jc w:val="both"/>
        <w:rPr>
          <w:rFonts w:ascii="Bookman Old Style" w:eastAsia="Times New Roman" w:hAnsi="Bookman Old Style"/>
        </w:rPr>
      </w:pPr>
      <w:r w:rsidRPr="00EA76BB">
        <w:rPr>
          <w:rFonts w:ascii="Bookman Old Style" w:eastAsia="Times New Roman" w:hAnsi="Bookman Old Style"/>
        </w:rPr>
        <w:t>Dt. 2-4 Mars 2015 bashkëpunimi me fondacionin Slynn për aktivitetin e Etikës Profesionale zhvilluar në Shkollë si për trajnimin fillestar ashtu dhe për trajnimin e vazhduar</w:t>
      </w:r>
      <w:r w:rsidRPr="00EA76BB">
        <w:rPr>
          <w:rFonts w:ascii="Bookman Old Style" w:eastAsia="Times New Roman" w:hAnsi="Bookman Old Style"/>
          <w:bCs/>
          <w:color w:val="000000"/>
        </w:rPr>
        <w:t>”.</w:t>
      </w:r>
    </w:p>
    <w:p w:rsidR="00CA7CDB" w:rsidRPr="00EA76BB" w:rsidRDefault="00CA7CDB" w:rsidP="00CA7CDB">
      <w:pPr>
        <w:jc w:val="both"/>
        <w:rPr>
          <w:rFonts w:ascii="Bookman Old Style" w:hAnsi="Bookman Old Style"/>
        </w:rPr>
      </w:pPr>
    </w:p>
    <w:p w:rsidR="00CA7CDB" w:rsidRPr="00EA76BB" w:rsidRDefault="00CA7CDB" w:rsidP="00CA7CDB">
      <w:pPr>
        <w:jc w:val="both"/>
        <w:rPr>
          <w:rFonts w:ascii="Bookman Old Style" w:hAnsi="Bookman Old Style" w:cs="Calibri"/>
        </w:rPr>
      </w:pPr>
      <w:r w:rsidRPr="00EA76BB">
        <w:rPr>
          <w:rFonts w:ascii="Bookman Old Style" w:hAnsi="Bookman Old Style"/>
        </w:rPr>
        <w:t>Përgjithësisht trajnimet zhvillohen në shkollë por ka raste që është e domosdoshme organizimi i sesioneve trajnuese bëhet në gjykata dhe prokurori të rretheve të ndryshme gjyqësore, dhe sidomos kur mbështetja financiare i mundëson trajnimet jashtë mjediseve të shkollës</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Në këtë mënyrë, çdo aktivitet kërkon një bashkëpunim të ngushtë me çdo gjykatë dhe prokurori, përmes drejtuesve të tyre. Ndërkohë vet Shkolla është në gjendje të vlerësojë nevojat </w:t>
      </w:r>
      <w:r w:rsidRPr="00EA76BB">
        <w:rPr>
          <w:rFonts w:ascii="Bookman Old Style" w:hAnsi="Bookman Old Style" w:cs="Calibri"/>
        </w:rPr>
        <w:lastRenderedPageBreak/>
        <w:t xml:space="preserve">e sistemit në tërësi, sipas veçorive të fluksit të çështjeve në çdo gjykatë dhe prokurori nisur nga specifikat edhe rajonale.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Në bazë të ligjit </w:t>
      </w:r>
      <w:r>
        <w:rPr>
          <w:rFonts w:ascii="Bookman Old Style" w:hAnsi="Bookman Old Style" w:cs="Calibri"/>
        </w:rPr>
        <w:t xml:space="preserve">për Shkollën e Magjistraturës, </w:t>
      </w:r>
      <w:r w:rsidRPr="00EA76BB">
        <w:rPr>
          <w:rFonts w:ascii="Bookman Old Style" w:hAnsi="Bookman Old Style" w:cs="Calibri"/>
        </w:rPr>
        <w:t xml:space="preserve">kryetarët e gjykatave  dhe drejtuesit e prokurorive, kanë detyrimin ligjor për të shprehur mendimin e tyre në lidhje me programin e formimit vazhdues. Dhënia e një mendimi të tillë do të ndikonte pozitivisht në tërë procesin e organizimit të sesioneve trajnuese, duke shmangur zvarritjet, shpenzimet dhe duke rritur efektivitetin e këtyre trajnimeve.  Kryetarët e gjykatave dhe drejtuesit e prokurorive, duke qenë në kontakt të vazhdueshëm me problematikat e përditshme të drejtësisë (gjyqësor/prokurori), do të krijonin një “urë lidhëse” me Shkollën e Magjistraturës, në funksion të rritjes së efektivitetit të formimit vazhdues të gjyqtarëve dhe të prokurorëve. Në këtë vështrim, Shkolla do të jetë në gjendje të vlerësojë drejt nevojat për trajnim të sistemit në tërësi, duke u fokusuar në ato çështje që paraqesin problematikat më komplekse në praktikën gjyqësore. Mund të themi që ky bashkëpunim ka ende shumë nevojë që të përmirësohet. Në disa takime rajonale me gjykatat e rrethit dhe apelit të zhvilluara gjatë muajit dhjetor, u vlerësua se kjo mënyrë komunikimi është e nevojshme dhe kapërcen informacionet e marra mbi nevojat vetëm përmes mënyrës virtuale, e cila është e rëndësishme të programohet dhe të ketë mbështetjen e duhur financiare. Është shumë e rëndësishme që të gjithë ta ndiejnë trajnimin si një të drejtë por edhe detyrim ku secili duhet të japë kontributin e vet.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Programi konsiston, në ballafaqimin dhe shpërndarjen e eksperiencave sipas niveleve dhe perceptimeve lokale dhe rajonale të ndryshme. Shkolla ka bërë kujdes të veçant</w:t>
      </w:r>
      <w:r>
        <w:rPr>
          <w:rFonts w:ascii="Bookman Old Style" w:hAnsi="Bookman Old Style" w:cs="Calibri"/>
        </w:rPr>
        <w:t xml:space="preserve">ë në përfshirjen në listat e aplikuesve </w:t>
      </w:r>
      <w:r w:rsidRPr="00EA76BB">
        <w:rPr>
          <w:rFonts w:ascii="Bookman Old Style" w:hAnsi="Bookman Old Style" w:cs="Calibri"/>
        </w:rPr>
        <w:t>të një lloj shpërndarjeje edhe gjeografike të pjesëmarrësve. Herë pas here organizimi i sesioneve me pjesëmarrës mbi bazë apelesh është bërë i mundshëm. Ndërkohë ka sesione, të cilat kanë qenë të kombinuara në pjesëmarrje si edhe sesione të modeluara vetëm për gjyqtarë ose vetëm për prokurorë.</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Shkolla e Magjistraturës ka bërë kujdes që të pasurojë auditorin e trajnimeve me aktorë të tjerë të sistemit të drejtësisë si: inspektorë të KLD, oficerë të policisë gjyqësore, etj, por duke pasur në qendër të vëmendjes grupin për të cilin ka detyrë të hartojë programe trajnuese. </w:t>
      </w:r>
    </w:p>
    <w:p w:rsidR="00CA7CDB" w:rsidRDefault="00CA7CDB" w:rsidP="00251B7E">
      <w:pPr>
        <w:numPr>
          <w:ilvl w:val="2"/>
          <w:numId w:val="2"/>
        </w:numPr>
        <w:spacing w:after="0" w:line="240" w:lineRule="auto"/>
        <w:jc w:val="both"/>
        <w:rPr>
          <w:rFonts w:ascii="Bookman Old Style" w:hAnsi="Bookman Old Style"/>
          <w:b/>
          <w:color w:val="7030A0"/>
          <w:sz w:val="24"/>
          <w:szCs w:val="24"/>
        </w:rPr>
      </w:pPr>
      <w:r w:rsidRPr="00251B7E">
        <w:rPr>
          <w:rFonts w:ascii="Bookman Old Style" w:hAnsi="Bookman Old Style"/>
          <w:b/>
          <w:color w:val="7030A0"/>
          <w:sz w:val="24"/>
          <w:szCs w:val="24"/>
        </w:rPr>
        <w:t>Pajisja me certifikatë dhe frekuentimi</w:t>
      </w:r>
    </w:p>
    <w:p w:rsidR="00251B7E" w:rsidRPr="00251B7E" w:rsidRDefault="00251B7E" w:rsidP="00251B7E">
      <w:pPr>
        <w:spacing w:after="0" w:line="240" w:lineRule="auto"/>
        <w:ind w:left="930"/>
        <w:jc w:val="both"/>
        <w:rPr>
          <w:rFonts w:ascii="Bookman Old Style" w:hAnsi="Bookman Old Style"/>
          <w:b/>
          <w:color w:val="7030A0"/>
          <w:sz w:val="24"/>
          <w:szCs w:val="24"/>
        </w:rPr>
      </w:pPr>
    </w:p>
    <w:p w:rsidR="00CA7CDB" w:rsidRPr="00EA76BB" w:rsidRDefault="00CA7CDB" w:rsidP="00CA7CDB">
      <w:pPr>
        <w:jc w:val="both"/>
        <w:rPr>
          <w:rFonts w:ascii="Bookman Old Style" w:hAnsi="Bookman Old Style" w:cs="Calibri"/>
        </w:rPr>
      </w:pPr>
      <w:r w:rsidRPr="00EA76BB">
        <w:rPr>
          <w:rFonts w:ascii="Bookman Old Style" w:hAnsi="Bookman Old Style" w:cs="Calibri"/>
          <w:b/>
          <w:bCs/>
        </w:rPr>
        <w:t xml:space="preserve">Në bazë të nenit 25 të Ligjit, </w:t>
      </w:r>
      <w:r w:rsidRPr="00EA76BB">
        <w:rPr>
          <w:rFonts w:ascii="Bookman Old Style" w:hAnsi="Bookman Old Style" w:cs="Calibri"/>
          <w:bCs/>
        </w:rPr>
        <w:t>g</w:t>
      </w:r>
      <w:r w:rsidRPr="00EA76BB">
        <w:rPr>
          <w:rFonts w:ascii="Bookman Old Style" w:hAnsi="Bookman Old Style" w:cs="Calibri"/>
        </w:rPr>
        <w:t>jyqtarët dhe prokurorët që marrin pjesë në formimin vazhdues,  pajisen me certifikatë, të lëshuar nga Drejtori i Shkollës. Një kopje e certifikatës vendoset në dosjen personale të gjyqtarëve dhe prokurorëve”.</w:t>
      </w:r>
    </w:p>
    <w:p w:rsidR="00CA7CDB" w:rsidRPr="00EA76BB" w:rsidRDefault="006B34AB" w:rsidP="00CA7CDB">
      <w:pPr>
        <w:jc w:val="both"/>
        <w:rPr>
          <w:rFonts w:ascii="Bookman Old Style" w:hAnsi="Bookman Old Style"/>
        </w:rPr>
      </w:pPr>
      <w:r>
        <w:rPr>
          <w:rFonts w:ascii="Bookman Old Style" w:hAnsi="Bookman Old Style"/>
        </w:rPr>
        <w:lastRenderedPageBreak/>
        <w:t xml:space="preserve">            </w:t>
      </w:r>
      <w:r w:rsidR="00CA7CDB" w:rsidRPr="00A21A1B">
        <w:rPr>
          <w:noProof/>
          <w:lang w:val="en-GB" w:eastAsia="en-GB"/>
        </w:rPr>
        <w:drawing>
          <wp:inline distT="0" distB="0" distL="0" distR="0">
            <wp:extent cx="5648325" cy="3467100"/>
            <wp:effectExtent l="0" t="0" r="0" b="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7CDB" w:rsidRDefault="006B34AB" w:rsidP="00251B7E">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CA7CDB" w:rsidRPr="00251B7E">
        <w:rPr>
          <w:rFonts w:ascii="Times New Roman" w:hAnsi="Times New Roman" w:cs="Times New Roman"/>
          <w:b/>
          <w:color w:val="7D4D98" w:themeColor="accent6" w:themeShade="BF"/>
          <w:sz w:val="24"/>
          <w:szCs w:val="24"/>
        </w:rPr>
        <w:t>Grafiku Nr.5 (Pjesëmarrja në aktivitetet për vitin 2015-2016 sipas kategorive)</w:t>
      </w:r>
    </w:p>
    <w:p w:rsidR="00251B7E" w:rsidRPr="00251B7E" w:rsidRDefault="00251B7E" w:rsidP="00251B7E">
      <w:pPr>
        <w:spacing w:after="0"/>
        <w:rPr>
          <w:rFonts w:ascii="Times New Roman" w:hAnsi="Times New Roman" w:cs="Times New Roman"/>
          <w:b/>
          <w:color w:val="7D4D98" w:themeColor="accent6" w:themeShade="BF"/>
          <w:sz w:val="24"/>
          <w:szCs w:val="24"/>
        </w:rPr>
      </w:pP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Gjyqtarët, prokurorët, oficerët e policisë gjyqësore,  si dhe kategori të tjera, që morën pjesë në aktivitetet trajnuese të programit të  formimit vazhdues gjatë vitit akademik 2015 - 2016, në mbarim të tyre u pajisën me certifikatë të posaçme të lëshuar nga Drejtoria e Shkollës së Magjistraturës. Certifikata është pjesë e dosjes së gjyqtarit dhe prokurorit që dëshmon për kualifikimin e tij pasi ka ndjekur me rigorozitet të gjitha sesionet e aktivitetit trajnues ku ka qenë pjesëmarrës.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Vetëm pas një frekuentimi të plotë të sesioneve trajnuese, kemi realizuar pajisjen me certifikatë. Kështu, komponenti i frekuentimit është ndjekur me prioritet nga sekretaria shkencore e formimit vazhdues, e cila ka mbajtur rekorde të sakta lidhur me këtë çështje. Nuk janë të rralla rastet që frekuentimi ka lënë për të dëshiruar, por gjatë vitit akademik 2015 – 2016 jemi përpjekur që këtë aspekt të trajnimeve ta përmirësojmë dukshëm. Në mënyrë sistematike Shkolla ka raportuar raste shqetësuese për sa më sipër në instancat respektive. Por, duhet evidentuar fakti se gjatë vitit të fundit nuk kemi pasur raste shqetësuese apo problematika serioze, kjo edhe për shkak të një bashkëpunimi më të ngushtë me auditorin pjesëmarrës nëpër sesionet trajnuese të zhvilluara. Nga eksperienca e vitit që lëmë pas vërejmë se sistemi i dokumentimit të prezencës së pjesëmarrësve në të gjitha sesionet e aktiviteteve të programit të -formimit vazhdues është perfeksionuar, megjithatë në këtë aspekt ende nevojiten përmirësime. Të njëjtën gjë mund të themi edhe për sistemin e certifikimit. Është ndjekur pothuajse frekuentimi i çdo pjesëmarrësi dhe mbi këtë bazë është bërë edhe certifikimi. I është dhënë vëmendje maksimale saktësisë së rekordeve që mbahen në sekretarinë shkencore në lidhje me frekuentimin dhe certifikimin e pjesëmarrësve. Kemi treguar rigorozitet dhe përgjegjshmëri të </w:t>
      </w:r>
      <w:r w:rsidRPr="00EA76BB">
        <w:rPr>
          <w:rFonts w:ascii="Bookman Old Style" w:hAnsi="Bookman Old Style" w:cs="Calibri"/>
        </w:rPr>
        <w:lastRenderedPageBreak/>
        <w:t>lartë në lëshimin e certifikatave në fund të secilit aktivitet trajnues, duke respektuar procedurën që aplikon institucioni ynë për pajisjen me certifikatë pjesëmarrjeje.</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Dy janë problematikat që janë shfaqur më dukshëm në lidhje me -formimin vazhdues të gjyqtarëve dhe prokurorëve: </w:t>
      </w:r>
    </w:p>
    <w:p w:rsidR="00CA7CDB" w:rsidRPr="00EA76BB" w:rsidRDefault="00CA7CDB" w:rsidP="003C4BF1">
      <w:pPr>
        <w:numPr>
          <w:ilvl w:val="0"/>
          <w:numId w:val="32"/>
        </w:numPr>
        <w:rPr>
          <w:rFonts w:ascii="Bookman Old Style" w:hAnsi="Bookman Old Style" w:cs="Calibri"/>
        </w:rPr>
      </w:pPr>
      <w:r w:rsidRPr="00EA76BB">
        <w:rPr>
          <w:rFonts w:ascii="Bookman Old Style" w:hAnsi="Bookman Old Style" w:cs="Calibri"/>
        </w:rPr>
        <w:t xml:space="preserve">pjesëmarrja/frekuentimi i sesioneve trajnuese dhe </w:t>
      </w:r>
    </w:p>
    <w:p w:rsidR="00CA7CDB" w:rsidRPr="00EA76BB" w:rsidRDefault="00CA7CDB" w:rsidP="003C4BF1">
      <w:pPr>
        <w:numPr>
          <w:ilvl w:val="0"/>
          <w:numId w:val="32"/>
        </w:numPr>
        <w:rPr>
          <w:rFonts w:ascii="Bookman Old Style" w:hAnsi="Bookman Old Style" w:cs="Calibri"/>
        </w:rPr>
      </w:pPr>
      <w:r w:rsidRPr="00EA76BB">
        <w:rPr>
          <w:rFonts w:ascii="Bookman Old Style" w:hAnsi="Bookman Old Style" w:cs="Calibri"/>
        </w:rPr>
        <w:t xml:space="preserve">përzgjedhja e ekspertëve vendas.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Në lidhje me frekuentimin e sesioneve trajnuese, Shkolla e Magjistraturës (ndonëse nuk ka asnjë detyrim t’u kujtojë gjyqtarëve dhe prokurorëve se duhet të respektojnë ligjin), ka informuar çdo gjyqtar e prokuror për detyrimin e tyre  ligjor, duke nënvizuar periudhën e formimit vazhdues për secilin.</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Shkolla vlerëson se në këtë drejtim është shumë e rëndësishme të vendoset  një “urë komunikimi” e vazhdueshme mes kryetarëve të gjykatave dhe drejtuesve të prokurorive, si përfaqësues të këtyre institucioneve në marrëdhënie me të tretët, dhe Shkollës së Magjistraturës. Ajo e ka realizuar këtë objektiv nëpërmjet vendosjes së pikave të kontaktit me çdo gjykatë e prokurori duke aplikuar për një shërbim sa më me pak kosto dhe të shpejtë është vendosur komunikimi i çdo njoftimi lidhur me formimin vazhdues me anën e postës elektronike. Përmes këtij komunikimi të vazhdueshëm, Shkolla mund të informohet në lidhje me pretendimet e gjyqtarëve dhe të prokurorëve për nivelin e trajnimeve, për çështjet që </w:t>
      </w:r>
      <w:r w:rsidR="002C6647">
        <w:rPr>
          <w:rFonts w:ascii="Bookman Old Style" w:hAnsi="Bookman Old Style" w:cs="Calibri"/>
        </w:rPr>
        <w:t xml:space="preserve">paraqesin më shumë interes për </w:t>
      </w:r>
      <w:r w:rsidRPr="00EA76BB">
        <w:rPr>
          <w:rFonts w:ascii="Bookman Old Style" w:hAnsi="Bookman Old Style" w:cs="Calibri"/>
        </w:rPr>
        <w:t xml:space="preserve">t’u trajtuar brenda një sesioni, për  probleme të praktikës gjyqësore me të cilat ato ndeshen çdo ditë, me qëllim përditësimin e kalendarit të -formimit vazhdues dhe pasurimin tij në të ardhmen.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Pjesëmarrja në –programin e formimit vazhdues është  pjesë e rëndësishme e sistemit të vlerësimit të gjyqtarëve e prokurorëve, përpos faktit që trajnimet ndikojnë në rritjen e p</w:t>
      </w:r>
      <w:r>
        <w:rPr>
          <w:rFonts w:ascii="Bookman Old Style" w:hAnsi="Bookman Old Style" w:cs="Calibri"/>
        </w:rPr>
        <w:t>e</w:t>
      </w:r>
      <w:r w:rsidRPr="00EA76BB">
        <w:rPr>
          <w:rFonts w:ascii="Bookman Old Style" w:hAnsi="Bookman Old Style" w:cs="Calibri"/>
        </w:rPr>
        <w:t xml:space="preserve">rformancës së tyre në ushtrimin e funksionit.  Nga kjo pikëpamje, shprehim bindjen se do të kemi edhe mbështetjen e KLD-së në realizimin sa më efektiv të programit të formimit vazhdues, pasi kjo është në interesin e vetë sistemit të drejtësisë.   </w:t>
      </w:r>
    </w:p>
    <w:p w:rsidR="00CA7CDB" w:rsidRPr="00EA76BB" w:rsidRDefault="002C6647" w:rsidP="00CA7CDB">
      <w:pPr>
        <w:jc w:val="both"/>
        <w:rPr>
          <w:rFonts w:ascii="Bookman Old Style" w:hAnsi="Bookman Old Style" w:cs="Calibri"/>
          <w:noProof/>
          <w:color w:val="0070C0"/>
          <w:u w:val="single"/>
        </w:rPr>
      </w:pPr>
      <w:r w:rsidRPr="002C6647">
        <w:rPr>
          <w:rFonts w:ascii="Bookman Old Style" w:hAnsi="Bookman Old Style" w:cs="Calibri"/>
          <w:noProof/>
          <w:color w:val="0070C0"/>
        </w:rPr>
        <w:lastRenderedPageBreak/>
        <w:t xml:space="preserve">           </w:t>
      </w:r>
      <w:r>
        <w:rPr>
          <w:noProof/>
          <w:lang w:val="en-GB" w:eastAsia="en-GB"/>
        </w:rPr>
        <w:drawing>
          <wp:inline distT="0" distB="0" distL="0" distR="0">
            <wp:extent cx="5505450" cy="3209925"/>
            <wp:effectExtent l="0" t="0" r="0" b="0"/>
            <wp:docPr id="1"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7CDB" w:rsidRPr="00251B7E" w:rsidRDefault="002C6647" w:rsidP="00251B7E">
      <w:pPr>
        <w:spacing w:after="0"/>
        <w:rPr>
          <w:rFonts w:ascii="Times New Roman" w:hAnsi="Times New Roman" w:cs="Times New Roman"/>
          <w:b/>
          <w:color w:val="7D4D98" w:themeColor="accent6" w:themeShade="BF"/>
          <w:sz w:val="24"/>
          <w:szCs w:val="24"/>
        </w:rPr>
      </w:pPr>
      <w:r w:rsidRPr="002C6647">
        <w:rPr>
          <w:rFonts w:ascii="Bookman Old Style" w:hAnsi="Bookman Old Style" w:cs="Calibri"/>
          <w:noProof/>
          <w:color w:val="0070C0"/>
        </w:rPr>
        <w:t xml:space="preserve">                                                     </w:t>
      </w:r>
      <w:r>
        <w:rPr>
          <w:rFonts w:ascii="Times New Roman" w:hAnsi="Times New Roman" w:cs="Times New Roman"/>
          <w:b/>
          <w:color w:val="7D4D98" w:themeColor="accent6" w:themeShade="BF"/>
          <w:sz w:val="24"/>
          <w:szCs w:val="24"/>
        </w:rPr>
        <w:t xml:space="preserve">           </w:t>
      </w:r>
      <w:r w:rsidRPr="002C6647">
        <w:rPr>
          <w:rFonts w:ascii="Times New Roman" w:hAnsi="Times New Roman" w:cs="Times New Roman"/>
          <w:b/>
          <w:color w:val="7D4D98" w:themeColor="accent6" w:themeShade="BF"/>
          <w:sz w:val="24"/>
          <w:szCs w:val="24"/>
        </w:rPr>
        <w:t xml:space="preserve"> </w:t>
      </w:r>
      <w:r w:rsidR="00CA7CDB" w:rsidRPr="00251B7E">
        <w:rPr>
          <w:rFonts w:ascii="Times New Roman" w:hAnsi="Times New Roman" w:cs="Times New Roman"/>
          <w:b/>
          <w:color w:val="7D4D98" w:themeColor="accent6" w:themeShade="BF"/>
          <w:sz w:val="24"/>
          <w:szCs w:val="24"/>
        </w:rPr>
        <w:t>Grafiku Nr.6</w:t>
      </w:r>
      <w:r w:rsidR="00CA7CDB" w:rsidRPr="00251B7E">
        <w:rPr>
          <w:rFonts w:ascii="Times New Roman" w:hAnsi="Times New Roman" w:cs="Times New Roman"/>
          <w:b/>
          <w:color w:val="7D4D98" w:themeColor="accent6" w:themeShade="BF"/>
          <w:sz w:val="24"/>
          <w:szCs w:val="24"/>
        </w:rPr>
        <w:tab/>
      </w:r>
      <w:r w:rsidR="00CA7CDB" w:rsidRPr="00251B7E">
        <w:rPr>
          <w:rFonts w:ascii="Times New Roman" w:hAnsi="Times New Roman" w:cs="Times New Roman"/>
          <w:b/>
          <w:color w:val="7D4D98" w:themeColor="accent6" w:themeShade="BF"/>
          <w:sz w:val="24"/>
          <w:szCs w:val="24"/>
        </w:rPr>
        <w:tab/>
      </w:r>
      <w:r w:rsidR="00CA7CDB" w:rsidRPr="00251B7E">
        <w:rPr>
          <w:rFonts w:ascii="Times New Roman" w:hAnsi="Times New Roman" w:cs="Times New Roman"/>
          <w:b/>
          <w:color w:val="7D4D98" w:themeColor="accent6" w:themeShade="BF"/>
          <w:sz w:val="24"/>
          <w:szCs w:val="24"/>
        </w:rPr>
        <w:tab/>
      </w:r>
    </w:p>
    <w:p w:rsidR="00251B7E" w:rsidRDefault="002C6647" w:rsidP="00251B7E">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w:t>
      </w:r>
      <w:r w:rsidRPr="002C6647">
        <w:rPr>
          <w:rFonts w:ascii="Times New Roman" w:hAnsi="Times New Roman" w:cs="Times New Roman"/>
          <w:b/>
          <w:color w:val="7D4D98" w:themeColor="accent6" w:themeShade="BF"/>
          <w:sz w:val="24"/>
          <w:szCs w:val="24"/>
        </w:rPr>
        <w:t>Frekuentimi i rregullt i aktiviteteve me pasojë certifikimin ose jo të  kategorisë gjyqtarë, viti akademik 2015-2016)</w:t>
      </w:r>
      <w:r w:rsidR="00CA7CDB" w:rsidRPr="00251B7E">
        <w:rPr>
          <w:rFonts w:ascii="Times New Roman" w:hAnsi="Times New Roman" w:cs="Times New Roman"/>
          <w:b/>
          <w:color w:val="7D4D98" w:themeColor="accent6" w:themeShade="BF"/>
          <w:sz w:val="24"/>
          <w:szCs w:val="24"/>
        </w:rPr>
        <w:t xml:space="preserve">    </w:t>
      </w:r>
    </w:p>
    <w:p w:rsidR="00CA7CDB" w:rsidRPr="00251B7E" w:rsidRDefault="00CA7CDB" w:rsidP="00251B7E">
      <w:pPr>
        <w:spacing w:after="0"/>
        <w:rPr>
          <w:rFonts w:ascii="Times New Roman" w:hAnsi="Times New Roman" w:cs="Times New Roman"/>
          <w:b/>
          <w:color w:val="7D4D98" w:themeColor="accent6" w:themeShade="BF"/>
          <w:sz w:val="24"/>
          <w:szCs w:val="24"/>
        </w:rPr>
      </w:pPr>
    </w:p>
    <w:p w:rsidR="00CA7CDB" w:rsidRPr="00EA76BB" w:rsidRDefault="00CA7CDB" w:rsidP="00CA7CDB">
      <w:pPr>
        <w:jc w:val="center"/>
        <w:rPr>
          <w:rFonts w:ascii="Bookman Old Style" w:hAnsi="Bookman Old Style" w:cs="Calibri"/>
          <w:i/>
          <w:color w:val="000066"/>
        </w:rPr>
      </w:pPr>
      <w:r w:rsidRPr="00A21A1B">
        <w:rPr>
          <w:noProof/>
          <w:lang w:val="en-GB" w:eastAsia="en-GB"/>
        </w:rPr>
        <w:drawing>
          <wp:inline distT="0" distB="0" distL="0" distR="0">
            <wp:extent cx="5514975" cy="3209925"/>
            <wp:effectExtent l="0" t="0" r="0" b="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A7CDB" w:rsidRPr="00251B7E" w:rsidRDefault="002C6647" w:rsidP="00251B7E">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CA7CDB" w:rsidRPr="00251B7E">
        <w:rPr>
          <w:rFonts w:ascii="Times New Roman" w:hAnsi="Times New Roman" w:cs="Times New Roman"/>
          <w:b/>
          <w:color w:val="7D4D98" w:themeColor="accent6" w:themeShade="BF"/>
          <w:sz w:val="24"/>
          <w:szCs w:val="24"/>
        </w:rPr>
        <w:t>Grafiku Nr.7</w:t>
      </w:r>
      <w:r>
        <w:rPr>
          <w:rFonts w:ascii="Times New Roman" w:hAnsi="Times New Roman" w:cs="Times New Roman"/>
          <w:b/>
          <w:color w:val="7D4D98" w:themeColor="accent6" w:themeShade="BF"/>
          <w:sz w:val="24"/>
          <w:szCs w:val="24"/>
        </w:rPr>
        <w:t xml:space="preserve"> </w:t>
      </w:r>
    </w:p>
    <w:p w:rsidR="00251B7E" w:rsidRPr="00251B7E" w:rsidRDefault="002C6647" w:rsidP="00251B7E">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w:t>
      </w:r>
      <w:r w:rsidRPr="002C6647">
        <w:rPr>
          <w:rFonts w:ascii="Times New Roman" w:hAnsi="Times New Roman" w:cs="Times New Roman"/>
          <w:b/>
          <w:color w:val="7D4D98" w:themeColor="accent6" w:themeShade="BF"/>
          <w:sz w:val="24"/>
          <w:szCs w:val="24"/>
        </w:rPr>
        <w:t xml:space="preserve">Frekuentimi i rregullt i aktiviteteve me pasojë certifikimin ose jo </w:t>
      </w:r>
      <w:r>
        <w:rPr>
          <w:rFonts w:ascii="Times New Roman" w:hAnsi="Times New Roman" w:cs="Times New Roman"/>
          <w:b/>
          <w:color w:val="7D4D98" w:themeColor="accent6" w:themeShade="BF"/>
          <w:sz w:val="24"/>
          <w:szCs w:val="24"/>
        </w:rPr>
        <w:t>të  kategorisë</w:t>
      </w:r>
      <w:r w:rsidRPr="00251B7E">
        <w:rPr>
          <w:rFonts w:ascii="Times New Roman" w:hAnsi="Times New Roman" w:cs="Times New Roman"/>
          <w:b/>
          <w:color w:val="7D4D98" w:themeColor="accent6" w:themeShade="BF"/>
          <w:sz w:val="24"/>
          <w:szCs w:val="24"/>
        </w:rPr>
        <w:t xml:space="preserve"> </w:t>
      </w:r>
      <w:r w:rsidR="00CA7CDB" w:rsidRPr="00251B7E">
        <w:rPr>
          <w:rFonts w:ascii="Times New Roman" w:hAnsi="Times New Roman" w:cs="Times New Roman"/>
          <w:b/>
          <w:color w:val="7D4D98" w:themeColor="accent6" w:themeShade="BF"/>
          <w:sz w:val="24"/>
          <w:szCs w:val="24"/>
        </w:rPr>
        <w:t>prokurorë, viti akademik 2015-2016)</w:t>
      </w:r>
    </w:p>
    <w:p w:rsidR="00CA7CDB" w:rsidRDefault="00CA7CDB" w:rsidP="00CA7CDB">
      <w:pPr>
        <w:jc w:val="both"/>
        <w:rPr>
          <w:rFonts w:ascii="Bookman Old Style" w:hAnsi="Bookman Old Style" w:cs="Calibri"/>
        </w:rPr>
      </w:pPr>
      <w:r w:rsidRPr="00EA76BB">
        <w:rPr>
          <w:rFonts w:ascii="Bookman Old Style" w:hAnsi="Bookman Old Style" w:cs="Calibri"/>
        </w:rPr>
        <w:lastRenderedPageBreak/>
        <w:t>Në  grafikët Nr. 6 dhe Nr. 7 vihet re se frekuentimi i sesioneve trajnuese për tema/kurse nga ana e gjyqtarëve/prokurorëve i llogaritur në numër total, është përkatësisht 1296 gjyqtarë dhe 282 prokurorë. Pra, vihet re se edhe pse frekuentimi në tema/kurse nga gjyqtarët është në 1296, certifikimi bie në 1149, kjo për shkak të mos qëndrimit në mënyrë permanente gjatë gjithë kohëzgjatjes së aktivitetit. Po, e njëjta situatë paraqitet edhe për prokurorët, ku frekuentimi në tema/kurse është dukshëm më i ulët pra në 282 të ardhur, ndërsa certifikimi për tema/kurse shkon në 247.</w:t>
      </w:r>
    </w:p>
    <w:p w:rsidR="002C6647" w:rsidRPr="00EA76BB" w:rsidRDefault="002C6647" w:rsidP="00CA7CDB">
      <w:pPr>
        <w:jc w:val="both"/>
        <w:rPr>
          <w:rFonts w:ascii="Bookman Old Style" w:hAnsi="Bookman Old Style" w:cs="Calibri"/>
        </w:rPr>
      </w:pPr>
    </w:p>
    <w:p w:rsidR="00CA7CDB" w:rsidRPr="00EA76BB" w:rsidRDefault="00CA7CDB" w:rsidP="00CA7CDB">
      <w:pPr>
        <w:jc w:val="center"/>
        <w:rPr>
          <w:rFonts w:ascii="Bookman Old Style" w:hAnsi="Bookman Old Style" w:cs="Calibri"/>
        </w:rPr>
      </w:pPr>
      <w:r w:rsidRPr="00A21A1B">
        <w:rPr>
          <w:rFonts w:ascii="Bookman Old Style" w:hAnsi="Bookman Old Style" w:cs="Calibri"/>
          <w:noProof/>
          <w:lang w:val="en-GB" w:eastAsia="en-GB"/>
        </w:rPr>
        <w:drawing>
          <wp:inline distT="0" distB="0" distL="0" distR="0">
            <wp:extent cx="5505450" cy="3219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3219450"/>
                    </a:xfrm>
                    <a:prstGeom prst="rect">
                      <a:avLst/>
                    </a:prstGeom>
                    <a:noFill/>
                    <a:ln>
                      <a:noFill/>
                    </a:ln>
                  </pic:spPr>
                </pic:pic>
              </a:graphicData>
            </a:graphic>
          </wp:inline>
        </w:drawing>
      </w:r>
    </w:p>
    <w:p w:rsidR="00CA7CDB" w:rsidRPr="00251B7E" w:rsidRDefault="002C6647" w:rsidP="00251B7E">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1D216F">
        <w:rPr>
          <w:rFonts w:ascii="Times New Roman" w:hAnsi="Times New Roman" w:cs="Times New Roman"/>
          <w:b/>
          <w:color w:val="7D4D98" w:themeColor="accent6" w:themeShade="BF"/>
          <w:sz w:val="24"/>
          <w:szCs w:val="24"/>
        </w:rPr>
        <w:t>Grafiku Nr.8</w:t>
      </w:r>
    </w:p>
    <w:p w:rsidR="00CA7CDB" w:rsidRPr="00251B7E" w:rsidRDefault="002C6647" w:rsidP="00251B7E">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CA7CDB" w:rsidRPr="00251B7E">
        <w:rPr>
          <w:rFonts w:ascii="Times New Roman" w:hAnsi="Times New Roman" w:cs="Times New Roman"/>
          <w:b/>
          <w:color w:val="7D4D98" w:themeColor="accent6" w:themeShade="BF"/>
          <w:sz w:val="24"/>
          <w:szCs w:val="24"/>
        </w:rPr>
        <w:t>(Frekuentimi – Gjyqtarë)</w:t>
      </w:r>
    </w:p>
    <w:p w:rsidR="00CA7CDB" w:rsidRPr="00EA76BB" w:rsidRDefault="00CA7CDB" w:rsidP="00CA7CDB">
      <w:pPr>
        <w:jc w:val="both"/>
        <w:rPr>
          <w:rFonts w:ascii="Bookman Old Style" w:hAnsi="Bookman Old Style" w:cs="Calibri"/>
          <w:b/>
          <w:i/>
          <w:noProof/>
          <w:color w:val="000066"/>
        </w:rPr>
      </w:pPr>
    </w:p>
    <w:p w:rsidR="00CA7CDB" w:rsidRPr="00EA76BB" w:rsidRDefault="00CA7CDB" w:rsidP="00CA7CDB">
      <w:pPr>
        <w:jc w:val="center"/>
        <w:rPr>
          <w:rFonts w:ascii="Bookman Old Style" w:hAnsi="Bookman Old Style" w:cs="Calibri"/>
          <w:i/>
          <w:noProof/>
          <w:color w:val="0070C0"/>
        </w:rPr>
      </w:pPr>
      <w:r w:rsidRPr="00A21A1B">
        <w:rPr>
          <w:rFonts w:ascii="Bookman Old Style" w:hAnsi="Bookman Old Style" w:cs="Calibri"/>
          <w:i/>
          <w:noProof/>
          <w:color w:val="0070C0"/>
          <w:lang w:val="en-GB" w:eastAsia="en-GB"/>
        </w:rPr>
        <w:lastRenderedPageBreak/>
        <w:drawing>
          <wp:inline distT="0" distB="0" distL="0" distR="0">
            <wp:extent cx="550545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3219450"/>
                    </a:xfrm>
                    <a:prstGeom prst="rect">
                      <a:avLst/>
                    </a:prstGeom>
                    <a:noFill/>
                    <a:ln>
                      <a:noFill/>
                    </a:ln>
                  </pic:spPr>
                </pic:pic>
              </a:graphicData>
            </a:graphic>
          </wp:inline>
        </w:drawing>
      </w:r>
    </w:p>
    <w:p w:rsidR="00CA7CDB" w:rsidRPr="001D216F" w:rsidRDefault="001D216F" w:rsidP="001D216F">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Grafiku Nr.9</w:t>
      </w:r>
    </w:p>
    <w:p w:rsidR="00CA7CDB" w:rsidRPr="001D216F" w:rsidRDefault="002C6647" w:rsidP="001D216F">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CA7CDB" w:rsidRPr="001D216F">
        <w:rPr>
          <w:rFonts w:ascii="Times New Roman" w:hAnsi="Times New Roman" w:cs="Times New Roman"/>
          <w:b/>
          <w:color w:val="7D4D98" w:themeColor="accent6" w:themeShade="BF"/>
          <w:sz w:val="24"/>
          <w:szCs w:val="24"/>
        </w:rPr>
        <w:t>(Frekuentimi – Prokurorë)</w:t>
      </w:r>
    </w:p>
    <w:p w:rsidR="00CA7CDB" w:rsidRPr="00EA76BB" w:rsidRDefault="00CA7CDB" w:rsidP="00CA7CDB">
      <w:pPr>
        <w:jc w:val="both"/>
        <w:rPr>
          <w:rFonts w:ascii="Bookman Old Style" w:hAnsi="Bookman Old Style" w:cs="Calibri"/>
        </w:rPr>
      </w:pPr>
      <w:r w:rsidRPr="00F91F65">
        <w:rPr>
          <w:rFonts w:ascii="Bookman Old Style" w:hAnsi="Bookman Old Style" w:cs="Calibri"/>
          <w:b/>
        </w:rPr>
        <w:t>Edhe këtë vit akademik të dhënat jan</w:t>
      </w:r>
      <w:r>
        <w:rPr>
          <w:rFonts w:ascii="Bookman Old Style" w:hAnsi="Bookman Old Style" w:cs="Calibri"/>
          <w:b/>
        </w:rPr>
        <w:t>ë</w:t>
      </w:r>
      <w:r w:rsidRPr="00F91F65">
        <w:rPr>
          <w:rFonts w:ascii="Bookman Old Style" w:hAnsi="Bookman Old Style" w:cs="Calibri"/>
          <w:b/>
        </w:rPr>
        <w:t xml:space="preserve"> mbajtur n</w:t>
      </w:r>
      <w:r>
        <w:rPr>
          <w:rFonts w:ascii="Bookman Old Style" w:hAnsi="Bookman Old Style" w:cs="Calibri"/>
          <w:b/>
        </w:rPr>
        <w:t>ë</w:t>
      </w:r>
      <w:r w:rsidRPr="00F91F65">
        <w:rPr>
          <w:rFonts w:ascii="Bookman Old Style" w:hAnsi="Bookman Old Style" w:cs="Calibri"/>
          <w:b/>
        </w:rPr>
        <w:t xml:space="preserve"> m</w:t>
      </w:r>
      <w:r>
        <w:rPr>
          <w:rFonts w:ascii="Bookman Old Style" w:hAnsi="Bookman Old Style" w:cs="Calibri"/>
          <w:b/>
        </w:rPr>
        <w:t>ë</w:t>
      </w:r>
      <w:r w:rsidRPr="00F91F65">
        <w:rPr>
          <w:rFonts w:ascii="Bookman Old Style" w:hAnsi="Bookman Old Style" w:cs="Calibri"/>
          <w:b/>
        </w:rPr>
        <w:t>nyr</w:t>
      </w:r>
      <w:r>
        <w:rPr>
          <w:rFonts w:ascii="Bookman Old Style" w:hAnsi="Bookman Old Style" w:cs="Calibri"/>
          <w:b/>
        </w:rPr>
        <w:t>ë</w:t>
      </w:r>
      <w:r w:rsidRPr="00F91F65">
        <w:rPr>
          <w:rFonts w:ascii="Bookman Old Style" w:hAnsi="Bookman Old Style" w:cs="Calibri"/>
          <w:b/>
        </w:rPr>
        <w:t xml:space="preserve"> manuale. Mungesa e sistemeve soft, e kërkuar disa herë nga Programi i Formimit Vazhdues ende nuk është realizuar.</w:t>
      </w:r>
      <w:r w:rsidRPr="00EA76BB">
        <w:rPr>
          <w:rFonts w:ascii="Bookman Old Style" w:hAnsi="Bookman Old Style" w:cs="Calibri"/>
        </w:rPr>
        <w:t xml:space="preserve"> Kjo i ka sjellë sekretarisë respektive një punë shumë voluminoze dhe humbje të madhe kohe. Sistemet e të dhënave mbeten në një model shumë të vjetërsuar dhe nuk krijojnë asnjë lehtësi në rekordet e shpejta dhe cilësore, të cilat tashmë duhet të jenë jo vetëm ekskluzivitet i Shkollës por edhe KLD dhe Prokurorisë së Përgjithshme sipas sistemit të vlerësimit.</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Sikurse vihet re, në një sërë rastesh numri i frekuentimit të temave/kurseve nga gjyqtarët që kanë aplikuar për një sesion trajnues është i ndryshëm nga numri i atyre që kanë ardhur në sesion dhe i ndryshëm nga ai i atyre që kanë frekuentuar rregullisht aq sa për t’u pajisur me certifikatë. Është pothuajse sa gjysma e atyre që kanë ftesë ose më saktë që kanë aplikuar që janë pajisur me certifikatë.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Po e njëjta situatë paraqitet me prokurorët.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Gjithsesi, pjesëmarrja e gjyqtarëve/prokurorëve në këto veprimtari trajnuese është e kënaqshme. Një pjesë e tyre vijnë nga rrethe të largëta, por gjithsesi e frekuentojnë me kujdes aktivitetin. </w:t>
      </w:r>
    </w:p>
    <w:p w:rsidR="00CA7CDB" w:rsidRPr="00EA76BB" w:rsidRDefault="00CA7CDB" w:rsidP="00CA7CDB">
      <w:pPr>
        <w:jc w:val="center"/>
        <w:rPr>
          <w:rFonts w:ascii="Bookman Old Style" w:hAnsi="Bookman Old Style" w:cs="Calibri"/>
          <w:b/>
          <w:noProof/>
          <w:color w:val="000080"/>
        </w:rPr>
      </w:pPr>
      <w:r w:rsidRPr="00A21A1B">
        <w:rPr>
          <w:noProof/>
          <w:lang w:val="en-GB" w:eastAsia="en-GB"/>
        </w:rPr>
        <w:lastRenderedPageBreak/>
        <w:drawing>
          <wp:inline distT="0" distB="0" distL="0" distR="0">
            <wp:extent cx="5514975" cy="3209925"/>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A7CDB" w:rsidRPr="001D216F" w:rsidRDefault="002C6647" w:rsidP="001D216F">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1D216F">
        <w:rPr>
          <w:rFonts w:ascii="Times New Roman" w:hAnsi="Times New Roman" w:cs="Times New Roman"/>
          <w:b/>
          <w:color w:val="7D4D98" w:themeColor="accent6" w:themeShade="BF"/>
          <w:sz w:val="24"/>
          <w:szCs w:val="24"/>
        </w:rPr>
        <w:t>Grafiku Nr.10</w:t>
      </w:r>
    </w:p>
    <w:p w:rsidR="00CA7CDB" w:rsidRDefault="00CA7CDB" w:rsidP="001D216F">
      <w:pPr>
        <w:spacing w:after="0"/>
        <w:rPr>
          <w:rFonts w:ascii="Times New Roman" w:hAnsi="Times New Roman" w:cs="Times New Roman"/>
          <w:b/>
          <w:color w:val="7D4D98" w:themeColor="accent6" w:themeShade="BF"/>
          <w:sz w:val="24"/>
          <w:szCs w:val="24"/>
        </w:rPr>
      </w:pPr>
      <w:r w:rsidRPr="001D216F">
        <w:rPr>
          <w:rFonts w:ascii="Times New Roman" w:hAnsi="Times New Roman" w:cs="Times New Roman"/>
          <w:b/>
          <w:color w:val="7D4D98" w:themeColor="accent6" w:themeShade="BF"/>
          <w:sz w:val="24"/>
          <w:szCs w:val="24"/>
        </w:rPr>
        <w:t>(Grafik krahasues në përqindje të përbërjes së auditorit me përfaqësues  gjyqtar dhe prokurorë, për vitin akademik 2015-2016)</w:t>
      </w:r>
    </w:p>
    <w:p w:rsidR="001D216F" w:rsidRPr="001D216F" w:rsidRDefault="001D216F" w:rsidP="001D216F">
      <w:pPr>
        <w:spacing w:after="0"/>
        <w:rPr>
          <w:rFonts w:ascii="Times New Roman" w:hAnsi="Times New Roman" w:cs="Times New Roman"/>
          <w:b/>
          <w:color w:val="7D4D98" w:themeColor="accent6" w:themeShade="BF"/>
          <w:sz w:val="24"/>
          <w:szCs w:val="24"/>
        </w:rPr>
      </w:pPr>
    </w:p>
    <w:p w:rsidR="00CA7CDB" w:rsidRPr="00EA76BB" w:rsidRDefault="00CA7CDB" w:rsidP="00CA7CDB">
      <w:pPr>
        <w:jc w:val="both"/>
        <w:rPr>
          <w:rFonts w:ascii="Bookman Old Style" w:hAnsi="Bookman Old Style" w:cs="Calibri"/>
          <w:noProof/>
          <w:color w:val="00B0F0"/>
        </w:rPr>
      </w:pPr>
      <w:r w:rsidRPr="00EA76BB">
        <w:rPr>
          <w:rFonts w:ascii="Bookman Old Style" w:hAnsi="Bookman Old Style" w:cs="Calibri"/>
        </w:rPr>
        <w:t xml:space="preserve">Në hartimin e listave për çdo aktivitet, numri i të </w:t>
      </w:r>
      <w:r>
        <w:rPr>
          <w:rFonts w:ascii="Bookman Old Style" w:hAnsi="Bookman Old Style" w:cs="Calibri"/>
        </w:rPr>
        <w:t>aplikuesve</w:t>
      </w:r>
      <w:r w:rsidRPr="00EA76BB">
        <w:rPr>
          <w:rFonts w:ascii="Bookman Old Style" w:hAnsi="Bookman Old Style" w:cs="Calibri"/>
        </w:rPr>
        <w:t xml:space="preserve"> mesatarisht shkon nga një minimum prej 30 deri në një maksimum prej</w:t>
      </w:r>
      <w:r w:rsidR="002C6647">
        <w:rPr>
          <w:rFonts w:ascii="Bookman Old Style" w:hAnsi="Bookman Old Style" w:cs="Calibri"/>
        </w:rPr>
        <w:t xml:space="preserve"> </w:t>
      </w:r>
      <w:r w:rsidRPr="00EA76BB">
        <w:rPr>
          <w:rFonts w:ascii="Bookman Old Style" w:hAnsi="Bookman Old Style" w:cs="Calibri"/>
        </w:rPr>
        <w:t>45 gjyqtarë/prokurorë. Kuptohet, me përjashtim të rasteve kur kërkesat janë më të ulëta apo më të larta. Por jo të gjithë ata që ftojmë edhe frekuentojnë. Kjo bën që ditën e aktivitetit, numri i tyre të shkojë deri në një mesatare prej18gjyqtarë/prokurorë.</w:t>
      </w:r>
    </w:p>
    <w:p w:rsidR="00CA7CDB" w:rsidRPr="00EA76BB" w:rsidRDefault="00CA7CDB" w:rsidP="00CA7CDB">
      <w:pPr>
        <w:jc w:val="both"/>
        <w:rPr>
          <w:rFonts w:ascii="Bookman Old Style" w:hAnsi="Bookman Old Style" w:cs="Calibri"/>
          <w:color w:val="00B0F0"/>
        </w:rPr>
      </w:pPr>
      <w:r w:rsidRPr="00EA76BB">
        <w:rPr>
          <w:rFonts w:ascii="Bookman Old Style" w:hAnsi="Bookman Old Style" w:cs="Calibri"/>
        </w:rPr>
        <w:t xml:space="preserve">Konstatojmë se ka disa gjyqtarë e prokurorë që nuk kanë aplikuar asnjë herë dhe nuk kanë marrë pjesë në asnjë sesion trajnues. Këta pa dyshim përbëjnë një grup të kufizuar por që fenomeni qoftë edhe në përmasa të tilla të  reduktuara, duhet të konsiderohet seriozisht nga KLD dhe Prokuroria e Përgjithshme.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Me ndryshimet që i janë bërë Ligjit Nr. 8136 datë 31.7.1996 “Për Shkollën e Magjistraturës në Republikën e Shqipërisë”  formimit vazhdues është bërë i detyruar për të gjithë gjyqtarët dhe prokurorët, ç’ka nënkupton faktin se konfirmimi dhe marrja pjesë në sesionet trajnuese është tashmë një detyrim ligjor për të gjithë.</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Në këto kushte Shkolla, në bashkëpunim me KLD dhe Prokurorinë e Përgjithshme, është angazhuar për të siguruar një pjesëmarrje më të madhe në aktivitetet trajnuese nga ana e gjyqtarëve dhe prokurorëve.</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Në raste të veçanta Shkolla e Magjistraturës ka informuar Prokurorinë e Përgjithshme dhe KLD lidhur me probleme në frekuentim nga individë të caktuar.</w:t>
      </w:r>
    </w:p>
    <w:p w:rsidR="00CA7CDB" w:rsidRPr="00EA76BB" w:rsidRDefault="00CA7CDB" w:rsidP="00CA7CDB">
      <w:pPr>
        <w:jc w:val="both"/>
        <w:rPr>
          <w:rFonts w:ascii="Bookman Old Style" w:hAnsi="Bookman Old Style" w:cs="Calibri"/>
          <w:b/>
          <w:color w:val="000000"/>
        </w:rPr>
      </w:pPr>
      <w:r w:rsidRPr="00EA76BB">
        <w:rPr>
          <w:rFonts w:ascii="Bookman Old Style" w:hAnsi="Bookman Old Style" w:cs="Calibri"/>
          <w:b/>
          <w:color w:val="000000"/>
        </w:rPr>
        <w:lastRenderedPageBreak/>
        <w:t>Disa të dhëna statistikore mbi përmbushjen e detyrimit ligjor për pjesëmarrjen në trajnime për gjyqtarë dhe prokurorë për vitin akademik 2015-2016 po i pasqyrojmë si mëposhtë edhe përmes një tabele edhe përmes një grafiku:</w:t>
      </w:r>
    </w:p>
    <w:tbl>
      <w:tblPr>
        <w:tblW w:w="3605" w:type="dxa"/>
        <w:jc w:val="center"/>
        <w:tblLook w:val="04A0"/>
      </w:tblPr>
      <w:tblGrid>
        <w:gridCol w:w="1056"/>
        <w:gridCol w:w="1193"/>
        <w:gridCol w:w="1356"/>
      </w:tblGrid>
      <w:tr w:rsidR="00CA7CDB" w:rsidRPr="00EA76BB" w:rsidTr="00E22FE0">
        <w:trPr>
          <w:trHeight w:val="300"/>
          <w:jc w:val="center"/>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b/>
                <w:bCs/>
                <w:color w:val="000000"/>
              </w:rPr>
            </w:pPr>
            <w:r w:rsidRPr="00EA76BB">
              <w:rPr>
                <w:rFonts w:ascii="Bookman Old Style" w:eastAsia="Times New Roman" w:hAnsi="Bookman Old Style"/>
                <w:b/>
                <w:bCs/>
                <w:color w:val="000000"/>
              </w:rPr>
              <w:t>Ditët</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b/>
                <w:bCs/>
                <w:color w:val="000000"/>
              </w:rPr>
            </w:pPr>
            <w:r w:rsidRPr="00EA76BB">
              <w:rPr>
                <w:rFonts w:ascii="Bookman Old Style" w:eastAsia="Times New Roman" w:hAnsi="Bookman Old Style"/>
                <w:b/>
                <w:bCs/>
                <w:color w:val="000000"/>
              </w:rPr>
              <w:t>Gjyqtarë</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b/>
                <w:bCs/>
                <w:color w:val="000000"/>
              </w:rPr>
            </w:pPr>
            <w:r w:rsidRPr="00EA76BB">
              <w:rPr>
                <w:rFonts w:ascii="Bookman Old Style" w:eastAsia="Times New Roman" w:hAnsi="Bookman Old Style"/>
                <w:b/>
                <w:bCs/>
                <w:color w:val="000000"/>
              </w:rPr>
              <w:t>Prokurorë</w:t>
            </w:r>
          </w:p>
        </w:tc>
      </w:tr>
      <w:tr w:rsidR="00CA7CDB" w:rsidRPr="00EA76BB" w:rsidTr="00E22FE0">
        <w:trPr>
          <w:trHeight w:val="300"/>
          <w:jc w:val="center"/>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rPr>
                <w:rFonts w:ascii="Bookman Old Style" w:eastAsia="Times New Roman" w:hAnsi="Bookman Old Style"/>
                <w:b/>
                <w:bCs/>
                <w:color w:val="000000"/>
              </w:rPr>
            </w:pPr>
            <w:r>
              <w:rPr>
                <w:rFonts w:ascii="Bookman Old Style" w:eastAsia="Times New Roman" w:hAnsi="Bookman Old Style"/>
                <w:b/>
                <w:bCs/>
                <w:color w:val="000000"/>
              </w:rPr>
              <w:t>0 ditë</w:t>
            </w:r>
          </w:p>
        </w:tc>
        <w:tc>
          <w:tcPr>
            <w:tcW w:w="1193" w:type="dxa"/>
            <w:tcBorders>
              <w:top w:val="single" w:sz="4" w:space="0" w:color="auto"/>
              <w:left w:val="nil"/>
              <w:bottom w:val="single" w:sz="4" w:space="0" w:color="auto"/>
              <w:right w:val="single" w:sz="4" w:space="0" w:color="auto"/>
            </w:tcBorders>
            <w:shd w:val="clear" w:color="auto" w:fill="auto"/>
            <w:noWrap/>
            <w:vAlign w:val="bottom"/>
          </w:tcPr>
          <w:p w:rsidR="00CA7CDB" w:rsidRPr="00EA76BB" w:rsidRDefault="002C6647" w:rsidP="00E22FE0">
            <w:pPr>
              <w:spacing w:after="0" w:line="240" w:lineRule="auto"/>
              <w:rPr>
                <w:rFonts w:ascii="Bookman Old Style" w:eastAsia="Times New Roman" w:hAnsi="Bookman Old Style"/>
                <w:b/>
                <w:bCs/>
                <w:color w:val="000000"/>
              </w:rPr>
            </w:pPr>
            <w:r>
              <w:rPr>
                <w:rFonts w:ascii="Bookman Old Style" w:eastAsia="Times New Roman" w:hAnsi="Bookman Old Style"/>
                <w:b/>
                <w:bCs/>
                <w:color w:val="000000"/>
              </w:rPr>
              <w:t xml:space="preserve">         68</w:t>
            </w:r>
          </w:p>
        </w:tc>
        <w:tc>
          <w:tcPr>
            <w:tcW w:w="1356" w:type="dxa"/>
            <w:tcBorders>
              <w:top w:val="single" w:sz="4" w:space="0" w:color="auto"/>
              <w:left w:val="nil"/>
              <w:bottom w:val="single" w:sz="4" w:space="0" w:color="auto"/>
              <w:right w:val="single" w:sz="4" w:space="0" w:color="auto"/>
            </w:tcBorders>
            <w:shd w:val="clear" w:color="auto" w:fill="auto"/>
            <w:noWrap/>
            <w:vAlign w:val="bottom"/>
          </w:tcPr>
          <w:p w:rsidR="00CA7CDB" w:rsidRPr="00EA76BB" w:rsidRDefault="002C6647" w:rsidP="00E22FE0">
            <w:pPr>
              <w:spacing w:after="0" w:line="240" w:lineRule="auto"/>
              <w:rPr>
                <w:rFonts w:ascii="Bookman Old Style" w:eastAsia="Times New Roman" w:hAnsi="Bookman Old Style"/>
                <w:b/>
                <w:bCs/>
                <w:color w:val="000000"/>
              </w:rPr>
            </w:pPr>
            <w:r>
              <w:rPr>
                <w:rFonts w:ascii="Bookman Old Style" w:eastAsia="Times New Roman" w:hAnsi="Bookman Old Style"/>
                <w:b/>
                <w:bCs/>
                <w:color w:val="000000"/>
              </w:rPr>
              <w:t xml:space="preserve">         190</w:t>
            </w:r>
          </w:p>
        </w:tc>
      </w:tr>
      <w:tr w:rsidR="00CA7CDB" w:rsidRPr="00EA76BB" w:rsidTr="00E22FE0">
        <w:trPr>
          <w:trHeight w:val="300"/>
          <w:jc w:val="center"/>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0-1 ditë</w:t>
            </w:r>
          </w:p>
        </w:tc>
        <w:tc>
          <w:tcPr>
            <w:tcW w:w="1193"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92</w:t>
            </w:r>
          </w:p>
        </w:tc>
        <w:tc>
          <w:tcPr>
            <w:tcW w:w="1356"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122</w:t>
            </w:r>
          </w:p>
        </w:tc>
      </w:tr>
      <w:tr w:rsidR="00CA7CDB" w:rsidRPr="00EA76BB" w:rsidTr="00E22FE0">
        <w:trPr>
          <w:trHeight w:val="300"/>
          <w:jc w:val="center"/>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1-3 ditë</w:t>
            </w:r>
          </w:p>
        </w:tc>
        <w:tc>
          <w:tcPr>
            <w:tcW w:w="1193"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103</w:t>
            </w:r>
          </w:p>
        </w:tc>
        <w:tc>
          <w:tcPr>
            <w:tcW w:w="1356"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33</w:t>
            </w:r>
          </w:p>
        </w:tc>
      </w:tr>
      <w:tr w:rsidR="00CA7CDB" w:rsidRPr="00EA76BB" w:rsidTr="00E22FE0">
        <w:trPr>
          <w:trHeight w:val="300"/>
          <w:jc w:val="center"/>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3-5 ditë</w:t>
            </w:r>
          </w:p>
        </w:tc>
        <w:tc>
          <w:tcPr>
            <w:tcW w:w="1193"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72</w:t>
            </w:r>
          </w:p>
        </w:tc>
        <w:tc>
          <w:tcPr>
            <w:tcW w:w="1356"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14</w:t>
            </w:r>
          </w:p>
        </w:tc>
      </w:tr>
      <w:tr w:rsidR="00CA7CDB" w:rsidRPr="00EA76BB" w:rsidTr="00E22FE0">
        <w:trPr>
          <w:trHeight w:val="300"/>
          <w:jc w:val="center"/>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5-10 ditë</w:t>
            </w:r>
          </w:p>
        </w:tc>
        <w:tc>
          <w:tcPr>
            <w:tcW w:w="1193"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70</w:t>
            </w:r>
          </w:p>
        </w:tc>
        <w:tc>
          <w:tcPr>
            <w:tcW w:w="1356"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6</w:t>
            </w:r>
          </w:p>
        </w:tc>
      </w:tr>
      <w:tr w:rsidR="00CA7CDB" w:rsidRPr="00EA76BB" w:rsidTr="00E22FE0">
        <w:trPr>
          <w:trHeight w:val="300"/>
          <w:jc w:val="center"/>
        </w:trPr>
        <w:tc>
          <w:tcPr>
            <w:tcW w:w="1056" w:type="dxa"/>
            <w:tcBorders>
              <w:top w:val="nil"/>
              <w:left w:val="single" w:sz="4" w:space="0" w:color="auto"/>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rPr>
                <w:rFonts w:ascii="Bookman Old Style" w:eastAsia="Times New Roman" w:hAnsi="Bookman Old Style"/>
              </w:rPr>
            </w:pPr>
            <w:r>
              <w:rPr>
                <w:rFonts w:ascii="Bookman Old Style" w:eastAsia="Times New Roman" w:hAnsi="Bookman Old Style"/>
              </w:rPr>
              <w:t>12 ditë</w:t>
            </w:r>
          </w:p>
        </w:tc>
        <w:tc>
          <w:tcPr>
            <w:tcW w:w="1193" w:type="dxa"/>
            <w:tcBorders>
              <w:top w:val="nil"/>
              <w:left w:val="nil"/>
              <w:bottom w:val="single" w:sz="4" w:space="0" w:color="auto"/>
              <w:right w:val="single" w:sz="4" w:space="0" w:color="auto"/>
            </w:tcBorders>
            <w:shd w:val="clear" w:color="auto" w:fill="auto"/>
            <w:noWrap/>
            <w:vAlign w:val="bottom"/>
          </w:tcPr>
          <w:p w:rsidR="00CA7CDB" w:rsidRPr="00EA76BB" w:rsidRDefault="002C6647" w:rsidP="00E22FE0">
            <w:pPr>
              <w:spacing w:after="0" w:line="240" w:lineRule="auto"/>
              <w:jc w:val="right"/>
              <w:rPr>
                <w:rFonts w:ascii="Bookman Old Style" w:eastAsia="Times New Roman" w:hAnsi="Bookman Old Style"/>
                <w:color w:val="000000"/>
              </w:rPr>
            </w:pPr>
            <w:r>
              <w:rPr>
                <w:rFonts w:ascii="Bookman Old Style" w:eastAsia="Times New Roman" w:hAnsi="Bookman Old Style"/>
                <w:color w:val="000000"/>
              </w:rPr>
              <w:t>2</w:t>
            </w:r>
          </w:p>
        </w:tc>
        <w:tc>
          <w:tcPr>
            <w:tcW w:w="1356" w:type="dxa"/>
            <w:tcBorders>
              <w:top w:val="nil"/>
              <w:left w:val="nil"/>
              <w:bottom w:val="single" w:sz="4" w:space="0" w:color="auto"/>
              <w:right w:val="single" w:sz="4" w:space="0" w:color="auto"/>
            </w:tcBorders>
            <w:shd w:val="clear" w:color="auto" w:fill="auto"/>
            <w:noWrap/>
            <w:vAlign w:val="bottom"/>
          </w:tcPr>
          <w:p w:rsidR="00CA7CDB" w:rsidRPr="00EA76BB" w:rsidRDefault="002C6647" w:rsidP="00E22FE0">
            <w:pPr>
              <w:spacing w:after="0" w:line="240" w:lineRule="auto"/>
              <w:jc w:val="right"/>
              <w:rPr>
                <w:rFonts w:ascii="Bookman Old Style" w:eastAsia="Times New Roman" w:hAnsi="Bookman Old Style"/>
                <w:color w:val="000000"/>
              </w:rPr>
            </w:pPr>
            <w:r>
              <w:rPr>
                <w:rFonts w:ascii="Bookman Old Style" w:eastAsia="Times New Roman" w:hAnsi="Bookman Old Style"/>
                <w:color w:val="000000"/>
              </w:rPr>
              <w:t>0</w:t>
            </w:r>
          </w:p>
        </w:tc>
      </w:tr>
      <w:tr w:rsidR="00CA7CDB" w:rsidRPr="00EA76BB" w:rsidTr="00E22FE0">
        <w:trPr>
          <w:trHeight w:val="300"/>
          <w:jc w:val="center"/>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10-20 ditë</w:t>
            </w:r>
          </w:p>
        </w:tc>
        <w:tc>
          <w:tcPr>
            <w:tcW w:w="1193"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7</w:t>
            </w:r>
          </w:p>
        </w:tc>
        <w:tc>
          <w:tcPr>
            <w:tcW w:w="1356"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r w:rsidR="00CA7CDB" w:rsidRPr="00EA76BB" w:rsidTr="00E22FE0">
        <w:trPr>
          <w:trHeight w:val="300"/>
          <w:jc w:val="center"/>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Mbi 20 ditë</w:t>
            </w:r>
          </w:p>
        </w:tc>
        <w:tc>
          <w:tcPr>
            <w:tcW w:w="1193"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c>
          <w:tcPr>
            <w:tcW w:w="1356"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bl>
    <w:p w:rsidR="00CA7CDB" w:rsidRPr="001D216F" w:rsidRDefault="002C6647" w:rsidP="001D216F">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CA7CDB" w:rsidRPr="001D216F">
        <w:rPr>
          <w:rFonts w:ascii="Times New Roman" w:hAnsi="Times New Roman" w:cs="Times New Roman"/>
          <w:b/>
          <w:color w:val="7D4D98" w:themeColor="accent6" w:themeShade="BF"/>
          <w:sz w:val="24"/>
          <w:szCs w:val="24"/>
        </w:rPr>
        <w:t>Tabela Nr. 2</w:t>
      </w:r>
    </w:p>
    <w:p w:rsidR="001D216F" w:rsidRDefault="00CA7CDB" w:rsidP="001D216F">
      <w:pPr>
        <w:spacing w:after="0"/>
        <w:rPr>
          <w:rFonts w:ascii="Times New Roman" w:hAnsi="Times New Roman" w:cs="Times New Roman"/>
          <w:b/>
          <w:color w:val="7D4D98" w:themeColor="accent6" w:themeShade="BF"/>
          <w:sz w:val="24"/>
          <w:szCs w:val="24"/>
        </w:rPr>
      </w:pPr>
      <w:r w:rsidRPr="001D216F">
        <w:rPr>
          <w:rFonts w:ascii="Times New Roman" w:hAnsi="Times New Roman" w:cs="Times New Roman"/>
          <w:b/>
          <w:color w:val="7D4D98" w:themeColor="accent6" w:themeShade="BF"/>
          <w:sz w:val="24"/>
          <w:szCs w:val="24"/>
        </w:rPr>
        <w:t>(Ditët e pjesëmarrjes (në total) në aktivitetet trajnuese për çdo gjyqtar dhe prokuror për</w:t>
      </w:r>
      <w:r w:rsidR="002C6647">
        <w:rPr>
          <w:rFonts w:ascii="Times New Roman" w:hAnsi="Times New Roman" w:cs="Times New Roman"/>
          <w:b/>
          <w:color w:val="7D4D98" w:themeColor="accent6" w:themeShade="BF"/>
          <w:sz w:val="24"/>
          <w:szCs w:val="24"/>
        </w:rPr>
        <w:t xml:space="preserve"> vitin akademik 2015-2016)</w:t>
      </w:r>
    </w:p>
    <w:p w:rsidR="001D216F" w:rsidRDefault="001D216F" w:rsidP="001D216F">
      <w:pPr>
        <w:spacing w:after="0"/>
        <w:rPr>
          <w:rFonts w:ascii="Times New Roman" w:hAnsi="Times New Roman" w:cs="Times New Roman"/>
          <w:b/>
          <w:color w:val="7D4D98" w:themeColor="accent6" w:themeShade="BF"/>
          <w:sz w:val="24"/>
          <w:szCs w:val="24"/>
        </w:rPr>
      </w:pPr>
    </w:p>
    <w:p w:rsidR="00CA7CDB" w:rsidRPr="001D216F" w:rsidRDefault="002C6647" w:rsidP="001D216F">
      <w:pPr>
        <w:spacing w:after="0"/>
        <w:rPr>
          <w:rFonts w:ascii="Bookman Old Style" w:hAnsi="Bookman Old Style" w:cs="Calibri"/>
          <w:color w:val="000080"/>
        </w:rPr>
      </w:pPr>
      <w:r>
        <w:rPr>
          <w:rFonts w:ascii="Bookman Old Style" w:hAnsi="Bookman Old Style" w:cs="Calibri"/>
          <w:color w:val="000080"/>
        </w:rPr>
        <w:t xml:space="preserve">                </w:t>
      </w:r>
      <w:r w:rsidR="00CA7CDB" w:rsidRPr="001D216F">
        <w:rPr>
          <w:rFonts w:ascii="Times New Roman" w:hAnsi="Times New Roman" w:cs="Times New Roman"/>
          <w:b/>
          <w:noProof/>
          <w:color w:val="7D4D98" w:themeColor="accent6" w:themeShade="BF"/>
          <w:sz w:val="24"/>
          <w:szCs w:val="24"/>
          <w:lang w:val="en-GB" w:eastAsia="en-GB"/>
        </w:rPr>
        <w:drawing>
          <wp:inline distT="0" distB="0" distL="0" distR="0">
            <wp:extent cx="5695950" cy="3495675"/>
            <wp:effectExtent l="0" t="0" r="38100" b="2857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7CDB" w:rsidRPr="001D216F" w:rsidRDefault="001D216F" w:rsidP="001D216F">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2C6647">
        <w:rPr>
          <w:rFonts w:ascii="Times New Roman" w:hAnsi="Times New Roman" w:cs="Times New Roman"/>
          <w:b/>
          <w:color w:val="7D4D98" w:themeColor="accent6" w:themeShade="BF"/>
          <w:sz w:val="24"/>
          <w:szCs w:val="24"/>
        </w:rPr>
        <w:t xml:space="preserve">                                                                      </w:t>
      </w:r>
      <w:r>
        <w:rPr>
          <w:rFonts w:ascii="Times New Roman" w:hAnsi="Times New Roman" w:cs="Times New Roman"/>
          <w:b/>
          <w:color w:val="7D4D98" w:themeColor="accent6" w:themeShade="BF"/>
          <w:sz w:val="24"/>
          <w:szCs w:val="24"/>
        </w:rPr>
        <w:t>Grafiku Nr. 11</w:t>
      </w:r>
    </w:p>
    <w:p w:rsidR="00CA7CDB" w:rsidRDefault="00CA7CDB" w:rsidP="001D216F">
      <w:pPr>
        <w:spacing w:after="0"/>
        <w:rPr>
          <w:rFonts w:ascii="Times New Roman" w:hAnsi="Times New Roman" w:cs="Times New Roman"/>
          <w:b/>
          <w:color w:val="7D4D98" w:themeColor="accent6" w:themeShade="BF"/>
          <w:sz w:val="24"/>
          <w:szCs w:val="24"/>
        </w:rPr>
      </w:pPr>
      <w:r w:rsidRPr="001D216F">
        <w:rPr>
          <w:rFonts w:ascii="Times New Roman" w:hAnsi="Times New Roman" w:cs="Times New Roman"/>
          <w:b/>
          <w:color w:val="7D4D98" w:themeColor="accent6" w:themeShade="BF"/>
          <w:sz w:val="24"/>
          <w:szCs w:val="24"/>
        </w:rPr>
        <w:t xml:space="preserve">              </w:t>
      </w:r>
      <w:r w:rsidR="002C6647">
        <w:rPr>
          <w:rFonts w:ascii="Times New Roman" w:hAnsi="Times New Roman" w:cs="Times New Roman"/>
          <w:b/>
          <w:color w:val="7D4D98" w:themeColor="accent6" w:themeShade="BF"/>
          <w:sz w:val="24"/>
          <w:szCs w:val="24"/>
        </w:rPr>
        <w:t xml:space="preserve">    </w:t>
      </w:r>
      <w:r w:rsidRPr="001D216F">
        <w:rPr>
          <w:rFonts w:ascii="Times New Roman" w:hAnsi="Times New Roman" w:cs="Times New Roman"/>
          <w:b/>
          <w:color w:val="7D4D98" w:themeColor="accent6" w:themeShade="BF"/>
          <w:sz w:val="24"/>
          <w:szCs w:val="24"/>
        </w:rPr>
        <w:t xml:space="preserve"> (Ditët e trajnimit për kategoritë gjyqtar dhe prokuror për vitin akademik 2015-2016)</w:t>
      </w:r>
    </w:p>
    <w:p w:rsidR="001D216F" w:rsidRDefault="001D216F" w:rsidP="001D216F">
      <w:pPr>
        <w:spacing w:after="0"/>
        <w:rPr>
          <w:rFonts w:ascii="Times New Roman" w:hAnsi="Times New Roman" w:cs="Times New Roman"/>
          <w:b/>
          <w:color w:val="7D4D98" w:themeColor="accent6" w:themeShade="BF"/>
          <w:sz w:val="24"/>
          <w:szCs w:val="24"/>
        </w:rPr>
      </w:pPr>
    </w:p>
    <w:p w:rsidR="001D216F" w:rsidRPr="001D216F" w:rsidRDefault="001D216F" w:rsidP="001D216F">
      <w:pPr>
        <w:spacing w:after="0"/>
        <w:rPr>
          <w:rFonts w:ascii="Times New Roman" w:hAnsi="Times New Roman" w:cs="Times New Roman"/>
          <w:b/>
          <w:color w:val="7D4D98" w:themeColor="accent6" w:themeShade="BF"/>
          <w:sz w:val="24"/>
          <w:szCs w:val="24"/>
        </w:rPr>
      </w:pPr>
    </w:p>
    <w:tbl>
      <w:tblPr>
        <w:tblW w:w="2316" w:type="dxa"/>
        <w:jc w:val="center"/>
        <w:tblLook w:val="04A0"/>
      </w:tblPr>
      <w:tblGrid>
        <w:gridCol w:w="960"/>
        <w:gridCol w:w="1356"/>
      </w:tblGrid>
      <w:tr w:rsidR="00CA7CDB" w:rsidRPr="00EA76BB" w:rsidTr="00E22FE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b/>
                <w:bCs/>
                <w:color w:val="000000"/>
              </w:rPr>
            </w:pPr>
            <w:r w:rsidRPr="00EA76BB">
              <w:rPr>
                <w:rFonts w:ascii="Bookman Old Style" w:eastAsia="Times New Roman" w:hAnsi="Bookman Old Style"/>
                <w:b/>
                <w:bCs/>
                <w:color w:val="000000"/>
              </w:rPr>
              <w:lastRenderedPageBreak/>
              <w:t>Ditët</w:t>
            </w:r>
          </w:p>
        </w:tc>
        <w:tc>
          <w:tcPr>
            <w:tcW w:w="1356" w:type="dxa"/>
            <w:tcBorders>
              <w:top w:val="single" w:sz="4" w:space="0" w:color="auto"/>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b/>
                <w:bCs/>
                <w:color w:val="000000"/>
              </w:rPr>
            </w:pPr>
            <w:r w:rsidRPr="00EA76BB">
              <w:rPr>
                <w:rFonts w:ascii="Bookman Old Style" w:eastAsia="Times New Roman" w:hAnsi="Bookman Old Style"/>
                <w:b/>
                <w:bCs/>
                <w:color w:val="000000"/>
              </w:rPr>
              <w:t>Prokurorë</w:t>
            </w:r>
          </w:p>
        </w:tc>
      </w:tr>
      <w:tr w:rsidR="00CA7CDB" w:rsidRPr="00EA76BB" w:rsidTr="00E22FE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0-1 ditë</w:t>
            </w:r>
          </w:p>
        </w:tc>
        <w:tc>
          <w:tcPr>
            <w:tcW w:w="1356"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122</w:t>
            </w:r>
          </w:p>
        </w:tc>
      </w:tr>
      <w:tr w:rsidR="00CA7CDB" w:rsidRPr="00EA76BB" w:rsidTr="00E22FE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1-3 ditë</w:t>
            </w:r>
          </w:p>
        </w:tc>
        <w:tc>
          <w:tcPr>
            <w:tcW w:w="1356"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33</w:t>
            </w:r>
          </w:p>
        </w:tc>
      </w:tr>
      <w:tr w:rsidR="00CA7CDB" w:rsidRPr="00EA76BB" w:rsidTr="00E22FE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3-5 ditë</w:t>
            </w:r>
          </w:p>
        </w:tc>
        <w:tc>
          <w:tcPr>
            <w:tcW w:w="1356"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14</w:t>
            </w:r>
          </w:p>
        </w:tc>
      </w:tr>
      <w:tr w:rsidR="00CA7CDB" w:rsidRPr="00EA76BB" w:rsidTr="00E22FE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5-10 ditë</w:t>
            </w:r>
          </w:p>
        </w:tc>
        <w:tc>
          <w:tcPr>
            <w:tcW w:w="1356"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6</w:t>
            </w:r>
          </w:p>
        </w:tc>
      </w:tr>
      <w:tr w:rsidR="00CA7CDB" w:rsidRPr="00EA76BB" w:rsidTr="00E22FE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10-20 ditë</w:t>
            </w:r>
          </w:p>
        </w:tc>
        <w:tc>
          <w:tcPr>
            <w:tcW w:w="1356"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r w:rsidR="00CA7CDB" w:rsidRPr="00EA76BB" w:rsidTr="00E22FE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Mbi 20 ditë</w:t>
            </w:r>
          </w:p>
        </w:tc>
        <w:tc>
          <w:tcPr>
            <w:tcW w:w="1356" w:type="dxa"/>
            <w:tcBorders>
              <w:top w:val="nil"/>
              <w:left w:val="nil"/>
              <w:bottom w:val="single" w:sz="4" w:space="0" w:color="auto"/>
              <w:right w:val="single" w:sz="4" w:space="0" w:color="auto"/>
            </w:tcBorders>
            <w:shd w:val="clear" w:color="auto" w:fill="auto"/>
            <w:noWrap/>
            <w:vAlign w:val="bottom"/>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bl>
    <w:p w:rsidR="00201C85" w:rsidRDefault="00201C85" w:rsidP="00CA7CDB">
      <w:pPr>
        <w:tabs>
          <w:tab w:val="left" w:pos="7320"/>
        </w:tabs>
        <w:jc w:val="both"/>
        <w:rPr>
          <w:rFonts w:ascii="Times New Roman" w:hAnsi="Times New Roman" w:cs="Times New Roman"/>
          <w:b/>
          <w:color w:val="7D4D98" w:themeColor="accent6" w:themeShade="BF"/>
          <w:sz w:val="24"/>
          <w:szCs w:val="24"/>
        </w:rPr>
      </w:pPr>
    </w:p>
    <w:p w:rsidR="00CA7CDB" w:rsidRDefault="002C6647" w:rsidP="00CA7CDB">
      <w:pPr>
        <w:tabs>
          <w:tab w:val="left" w:pos="7320"/>
        </w:tabs>
        <w:jc w:val="both"/>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201C85" w:rsidRPr="001D216F">
        <w:rPr>
          <w:rFonts w:ascii="Times New Roman" w:hAnsi="Times New Roman" w:cs="Times New Roman"/>
          <w:b/>
          <w:color w:val="7D4D98" w:themeColor="accent6" w:themeShade="BF"/>
          <w:sz w:val="24"/>
          <w:szCs w:val="24"/>
        </w:rPr>
        <w:t xml:space="preserve">Tabela Nr. 3  </w:t>
      </w:r>
    </w:p>
    <w:p w:rsidR="00201C85" w:rsidRPr="00EA76BB" w:rsidRDefault="00201C85" w:rsidP="00CA7CDB">
      <w:pPr>
        <w:tabs>
          <w:tab w:val="left" w:pos="7320"/>
        </w:tabs>
        <w:jc w:val="both"/>
      </w:pPr>
      <w:r>
        <w:rPr>
          <w:rFonts w:ascii="Times New Roman" w:hAnsi="Times New Roman" w:cs="Times New Roman"/>
          <w:b/>
          <w:color w:val="7D4D98" w:themeColor="accent6" w:themeShade="BF"/>
          <w:sz w:val="24"/>
          <w:szCs w:val="24"/>
        </w:rPr>
        <w:t>(</w:t>
      </w:r>
      <w:r w:rsidRPr="001D216F">
        <w:rPr>
          <w:rFonts w:ascii="Times New Roman" w:hAnsi="Times New Roman" w:cs="Times New Roman"/>
          <w:b/>
          <w:color w:val="7D4D98" w:themeColor="accent6" w:themeShade="BF"/>
          <w:sz w:val="24"/>
          <w:szCs w:val="24"/>
        </w:rPr>
        <w:t>Ditët e trajnimit për çdo prokuror</w:t>
      </w:r>
      <w:r w:rsidR="002C6647">
        <w:rPr>
          <w:rFonts w:ascii="Times New Roman" w:hAnsi="Times New Roman" w:cs="Times New Roman"/>
          <w:b/>
          <w:color w:val="7D4D98" w:themeColor="accent6" w:themeShade="BF"/>
          <w:sz w:val="24"/>
          <w:szCs w:val="24"/>
        </w:rPr>
        <w:t xml:space="preserve"> </w:t>
      </w:r>
      <w:r w:rsidRPr="001D216F">
        <w:rPr>
          <w:rFonts w:ascii="Times New Roman" w:hAnsi="Times New Roman" w:cs="Times New Roman"/>
          <w:b/>
          <w:color w:val="7D4D98" w:themeColor="accent6" w:themeShade="BF"/>
          <w:sz w:val="24"/>
          <w:szCs w:val="24"/>
        </w:rPr>
        <w:t>pjesëmarrës në sesionet</w:t>
      </w:r>
      <w:r w:rsidR="002C6647">
        <w:rPr>
          <w:rFonts w:ascii="Times New Roman" w:hAnsi="Times New Roman" w:cs="Times New Roman"/>
          <w:b/>
          <w:color w:val="7D4D98" w:themeColor="accent6" w:themeShade="BF"/>
          <w:sz w:val="24"/>
          <w:szCs w:val="24"/>
        </w:rPr>
        <w:t xml:space="preserve"> </w:t>
      </w:r>
      <w:r w:rsidRPr="001D216F">
        <w:rPr>
          <w:rFonts w:ascii="Times New Roman" w:hAnsi="Times New Roman" w:cs="Times New Roman"/>
          <w:b/>
          <w:color w:val="7D4D98" w:themeColor="accent6" w:themeShade="BF"/>
          <w:sz w:val="24"/>
          <w:szCs w:val="24"/>
        </w:rPr>
        <w:t>trajnuese për vitin akademik 2015-2016)</w:t>
      </w:r>
    </w:p>
    <w:p w:rsidR="00CA7CDB" w:rsidRPr="00EA76BB" w:rsidRDefault="00CA7CDB" w:rsidP="00CA7CDB">
      <w:pPr>
        <w:tabs>
          <w:tab w:val="left" w:pos="7320"/>
        </w:tabs>
        <w:jc w:val="center"/>
        <w:rPr>
          <w:rFonts w:ascii="Bookman Old Style" w:hAnsi="Bookman Old Style" w:cs="Calibri"/>
          <w:b/>
        </w:rPr>
      </w:pPr>
      <w:r w:rsidRPr="00A21A1B">
        <w:rPr>
          <w:noProof/>
          <w:lang w:val="en-GB" w:eastAsia="en-GB"/>
        </w:rPr>
        <w:drawing>
          <wp:inline distT="0" distB="0" distL="0" distR="0">
            <wp:extent cx="5610225" cy="3219450"/>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01C85" w:rsidRDefault="002C6647" w:rsidP="001D216F">
      <w:pPr>
        <w:spacing w:after="0"/>
        <w:rPr>
          <w:rFonts w:ascii="Times New Roman" w:hAnsi="Times New Roman" w:cs="Times New Roman"/>
          <w:b/>
          <w:color w:val="7D4D98" w:themeColor="accent6" w:themeShade="BF"/>
          <w:sz w:val="24"/>
          <w:szCs w:val="24"/>
        </w:rPr>
      </w:pPr>
      <w:bookmarkStart w:id="17" w:name="OLE_LINK4"/>
      <w:bookmarkStart w:id="18" w:name="OLE_LINK5"/>
      <w:bookmarkEnd w:id="17"/>
      <w:bookmarkEnd w:id="18"/>
      <w:r>
        <w:rPr>
          <w:rFonts w:ascii="Times New Roman" w:hAnsi="Times New Roman" w:cs="Times New Roman"/>
          <w:b/>
          <w:color w:val="7D4D98" w:themeColor="accent6" w:themeShade="BF"/>
          <w:sz w:val="24"/>
          <w:szCs w:val="24"/>
        </w:rPr>
        <w:t xml:space="preserve">                                                                 </w:t>
      </w:r>
      <w:r w:rsidR="001D216F">
        <w:rPr>
          <w:rFonts w:ascii="Times New Roman" w:hAnsi="Times New Roman" w:cs="Times New Roman"/>
          <w:b/>
          <w:color w:val="7D4D98" w:themeColor="accent6" w:themeShade="BF"/>
          <w:sz w:val="24"/>
          <w:szCs w:val="24"/>
        </w:rPr>
        <w:t>Grafiku Nr.12</w:t>
      </w:r>
    </w:p>
    <w:p w:rsidR="00CA7CDB" w:rsidRPr="001D216F" w:rsidRDefault="00CA7CDB" w:rsidP="001D216F">
      <w:pPr>
        <w:spacing w:after="0"/>
        <w:rPr>
          <w:rFonts w:ascii="Times New Roman" w:hAnsi="Times New Roman" w:cs="Times New Roman"/>
          <w:b/>
          <w:color w:val="7D4D98" w:themeColor="accent6" w:themeShade="BF"/>
          <w:sz w:val="24"/>
          <w:szCs w:val="24"/>
        </w:rPr>
      </w:pPr>
      <w:r w:rsidRPr="001D216F">
        <w:rPr>
          <w:rFonts w:ascii="Times New Roman" w:hAnsi="Times New Roman" w:cs="Times New Roman"/>
          <w:b/>
          <w:color w:val="7D4D98" w:themeColor="accent6" w:themeShade="BF"/>
          <w:sz w:val="24"/>
          <w:szCs w:val="24"/>
        </w:rPr>
        <w:t>(D</w:t>
      </w:r>
      <w:r w:rsidR="00201C85">
        <w:rPr>
          <w:rFonts w:ascii="Times New Roman" w:hAnsi="Times New Roman" w:cs="Times New Roman"/>
          <w:b/>
          <w:color w:val="7D4D98" w:themeColor="accent6" w:themeShade="BF"/>
          <w:sz w:val="24"/>
          <w:szCs w:val="24"/>
        </w:rPr>
        <w:t xml:space="preserve">itët e trajnimit të paraqitura   në total për kategorinë </w:t>
      </w:r>
      <w:r w:rsidRPr="001D216F">
        <w:rPr>
          <w:rFonts w:ascii="Times New Roman" w:hAnsi="Times New Roman" w:cs="Times New Roman"/>
          <w:b/>
          <w:color w:val="7D4D98" w:themeColor="accent6" w:themeShade="BF"/>
          <w:sz w:val="24"/>
          <w:szCs w:val="24"/>
        </w:rPr>
        <w:t xml:space="preserve">prokurorë për vitin akademik 2015-2016) </w:t>
      </w:r>
    </w:p>
    <w:p w:rsidR="00D65DAB" w:rsidRDefault="00D65DAB" w:rsidP="00CA7CDB">
      <w:pPr>
        <w:tabs>
          <w:tab w:val="left" w:pos="1000"/>
          <w:tab w:val="left" w:pos="7400"/>
        </w:tabs>
        <w:rPr>
          <w:rFonts w:ascii="Bookman Old Style" w:hAnsi="Bookman Old Style" w:cs="Calibri"/>
          <w:b/>
          <w:i/>
          <w:color w:val="000066"/>
          <w:sz w:val="20"/>
          <w:szCs w:val="20"/>
        </w:rPr>
      </w:pPr>
    </w:p>
    <w:p w:rsidR="00D65DAB" w:rsidRDefault="00D65DAB" w:rsidP="00CA7CDB">
      <w:pPr>
        <w:tabs>
          <w:tab w:val="left" w:pos="1000"/>
          <w:tab w:val="left" w:pos="7400"/>
        </w:tabs>
        <w:rPr>
          <w:rFonts w:ascii="Bookman Old Style" w:hAnsi="Bookman Old Style" w:cs="Calibri"/>
          <w:b/>
          <w:i/>
          <w:color w:val="000066"/>
          <w:sz w:val="20"/>
          <w:szCs w:val="20"/>
        </w:rPr>
      </w:pPr>
    </w:p>
    <w:p w:rsidR="00D65DAB" w:rsidRDefault="00D65DAB" w:rsidP="00CA7CDB">
      <w:pPr>
        <w:tabs>
          <w:tab w:val="left" w:pos="1000"/>
          <w:tab w:val="left" w:pos="7400"/>
        </w:tabs>
        <w:rPr>
          <w:rFonts w:ascii="Bookman Old Style" w:hAnsi="Bookman Old Style" w:cs="Calibri"/>
          <w:b/>
          <w:noProof/>
          <w:color w:val="000066"/>
          <w:sz w:val="20"/>
          <w:szCs w:val="20"/>
          <w:u w:val="single"/>
        </w:rPr>
      </w:pPr>
    </w:p>
    <w:p w:rsidR="002C6647" w:rsidRPr="00EA76BB" w:rsidRDefault="002C6647" w:rsidP="00CA7CDB">
      <w:pPr>
        <w:tabs>
          <w:tab w:val="left" w:pos="1000"/>
          <w:tab w:val="left" w:pos="7400"/>
        </w:tabs>
        <w:rPr>
          <w:rFonts w:ascii="Bookman Old Style" w:hAnsi="Bookman Old Style" w:cs="Calibri"/>
          <w:b/>
          <w:noProof/>
          <w:color w:val="000066"/>
          <w:sz w:val="20"/>
          <w:szCs w:val="20"/>
          <w:u w:val="single"/>
        </w:rPr>
      </w:pPr>
    </w:p>
    <w:tbl>
      <w:tblPr>
        <w:tblW w:w="2249" w:type="dxa"/>
        <w:jc w:val="center"/>
        <w:tblLook w:val="04A0"/>
      </w:tblPr>
      <w:tblGrid>
        <w:gridCol w:w="1056"/>
        <w:gridCol w:w="1193"/>
      </w:tblGrid>
      <w:tr w:rsidR="00CA7CDB" w:rsidRPr="00EA76BB" w:rsidTr="00E22FE0">
        <w:trPr>
          <w:trHeight w:val="300"/>
          <w:jc w:val="center"/>
        </w:trPr>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b/>
                <w:bCs/>
                <w:color w:val="000000"/>
              </w:rPr>
            </w:pPr>
            <w:r w:rsidRPr="00EA76BB">
              <w:rPr>
                <w:rFonts w:ascii="Bookman Old Style" w:eastAsia="Times New Roman" w:hAnsi="Bookman Old Style"/>
                <w:b/>
                <w:bCs/>
                <w:color w:val="000000"/>
              </w:rPr>
              <w:lastRenderedPageBreak/>
              <w:t>Ditët</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b/>
                <w:bCs/>
                <w:color w:val="000000"/>
              </w:rPr>
            </w:pPr>
            <w:r w:rsidRPr="00EA76BB">
              <w:rPr>
                <w:rFonts w:ascii="Bookman Old Style" w:eastAsia="Times New Roman" w:hAnsi="Bookman Old Style"/>
                <w:b/>
                <w:bCs/>
                <w:color w:val="000000"/>
              </w:rPr>
              <w:t>Gjyqtarë</w:t>
            </w:r>
          </w:p>
        </w:tc>
      </w:tr>
      <w:tr w:rsidR="00CA7CDB" w:rsidRPr="00EA76BB" w:rsidTr="00E22FE0">
        <w:trPr>
          <w:trHeight w:val="300"/>
          <w:jc w:val="center"/>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0-1 ditë</w:t>
            </w:r>
          </w:p>
        </w:tc>
        <w:tc>
          <w:tcPr>
            <w:tcW w:w="1193"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92</w:t>
            </w:r>
          </w:p>
        </w:tc>
      </w:tr>
      <w:tr w:rsidR="00CA7CDB" w:rsidRPr="00EA76BB" w:rsidTr="00E22FE0">
        <w:trPr>
          <w:trHeight w:val="300"/>
          <w:jc w:val="center"/>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1-3 ditë</w:t>
            </w:r>
          </w:p>
        </w:tc>
        <w:tc>
          <w:tcPr>
            <w:tcW w:w="1193"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103</w:t>
            </w:r>
          </w:p>
        </w:tc>
      </w:tr>
      <w:tr w:rsidR="00CA7CDB" w:rsidRPr="00EA76BB" w:rsidTr="00E22FE0">
        <w:trPr>
          <w:trHeight w:val="300"/>
          <w:jc w:val="center"/>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3-5 ditë</w:t>
            </w:r>
          </w:p>
        </w:tc>
        <w:tc>
          <w:tcPr>
            <w:tcW w:w="1193"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72</w:t>
            </w:r>
          </w:p>
        </w:tc>
      </w:tr>
      <w:tr w:rsidR="00CA7CDB" w:rsidRPr="00EA76BB" w:rsidTr="00E22FE0">
        <w:trPr>
          <w:trHeight w:val="300"/>
          <w:jc w:val="center"/>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5-10 ditë</w:t>
            </w:r>
          </w:p>
        </w:tc>
        <w:tc>
          <w:tcPr>
            <w:tcW w:w="1193"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70</w:t>
            </w:r>
          </w:p>
        </w:tc>
      </w:tr>
      <w:tr w:rsidR="00CA7CDB" w:rsidRPr="00EA76BB" w:rsidTr="00E22FE0">
        <w:trPr>
          <w:trHeight w:val="300"/>
          <w:jc w:val="center"/>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10-20 ditë</w:t>
            </w:r>
          </w:p>
        </w:tc>
        <w:tc>
          <w:tcPr>
            <w:tcW w:w="1193"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7</w:t>
            </w:r>
          </w:p>
        </w:tc>
      </w:tr>
      <w:tr w:rsidR="00CA7CDB" w:rsidRPr="00EA76BB" w:rsidTr="00E22FE0">
        <w:trPr>
          <w:trHeight w:val="300"/>
          <w:jc w:val="center"/>
        </w:trPr>
        <w:tc>
          <w:tcPr>
            <w:tcW w:w="1056" w:type="dxa"/>
            <w:tcBorders>
              <w:top w:val="nil"/>
              <w:left w:val="single" w:sz="4" w:space="0" w:color="auto"/>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rPr>
                <w:rFonts w:ascii="Bookman Old Style" w:eastAsia="Times New Roman" w:hAnsi="Bookman Old Style"/>
              </w:rPr>
            </w:pPr>
            <w:r w:rsidRPr="00EA76BB">
              <w:rPr>
                <w:rFonts w:ascii="Bookman Old Style" w:eastAsia="Times New Roman" w:hAnsi="Bookman Old Style"/>
              </w:rPr>
              <w:t>Mbi 20 ditë</w:t>
            </w:r>
          </w:p>
        </w:tc>
        <w:tc>
          <w:tcPr>
            <w:tcW w:w="1193" w:type="dxa"/>
            <w:tcBorders>
              <w:top w:val="nil"/>
              <w:left w:val="nil"/>
              <w:bottom w:val="single" w:sz="4" w:space="0" w:color="auto"/>
              <w:right w:val="single" w:sz="4" w:space="0" w:color="auto"/>
            </w:tcBorders>
            <w:shd w:val="clear" w:color="auto" w:fill="auto"/>
            <w:noWrap/>
            <w:vAlign w:val="bottom"/>
            <w:hideMark/>
          </w:tcPr>
          <w:p w:rsidR="00CA7CDB" w:rsidRPr="00EA76BB" w:rsidRDefault="00CA7CDB" w:rsidP="00E22FE0">
            <w:pPr>
              <w:spacing w:after="0" w:line="240" w:lineRule="auto"/>
              <w:jc w:val="right"/>
              <w:rPr>
                <w:rFonts w:ascii="Bookman Old Style" w:eastAsia="Times New Roman" w:hAnsi="Bookman Old Style"/>
                <w:color w:val="000000"/>
              </w:rPr>
            </w:pPr>
            <w:r w:rsidRPr="00EA76BB">
              <w:rPr>
                <w:rFonts w:ascii="Bookman Old Style" w:eastAsia="Times New Roman" w:hAnsi="Bookman Old Style"/>
                <w:color w:val="000000"/>
              </w:rPr>
              <w:t>0</w:t>
            </w:r>
          </w:p>
        </w:tc>
      </w:tr>
    </w:tbl>
    <w:p w:rsidR="002C6647" w:rsidRDefault="002C6647" w:rsidP="00CA7CDB">
      <w:pPr>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201C85" w:rsidRPr="00201C85">
        <w:rPr>
          <w:rFonts w:ascii="Times New Roman" w:hAnsi="Times New Roman" w:cs="Times New Roman"/>
          <w:b/>
          <w:color w:val="7D4D98" w:themeColor="accent6" w:themeShade="BF"/>
          <w:sz w:val="24"/>
          <w:szCs w:val="24"/>
        </w:rPr>
        <w:t>Tabela Nr. 4</w:t>
      </w:r>
    </w:p>
    <w:p w:rsidR="00CA7CDB" w:rsidRPr="002C6647" w:rsidRDefault="00201C85" w:rsidP="00CA7CDB">
      <w:pPr>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w:t>
      </w:r>
      <w:r w:rsidRPr="00201C85">
        <w:rPr>
          <w:rFonts w:ascii="Times New Roman" w:hAnsi="Times New Roman" w:cs="Times New Roman"/>
          <w:b/>
          <w:color w:val="7D4D98" w:themeColor="accent6" w:themeShade="BF"/>
          <w:sz w:val="24"/>
          <w:szCs w:val="24"/>
        </w:rPr>
        <w:t>Ditët e</w:t>
      </w:r>
      <w:r>
        <w:rPr>
          <w:rFonts w:ascii="Times New Roman" w:hAnsi="Times New Roman" w:cs="Times New Roman"/>
          <w:b/>
          <w:color w:val="7D4D98" w:themeColor="accent6" w:themeShade="BF"/>
          <w:sz w:val="24"/>
          <w:szCs w:val="24"/>
        </w:rPr>
        <w:t xml:space="preserve"> trajnimit për çdo gjyqtar  pjesëmarrës në sesionet </w:t>
      </w:r>
      <w:r w:rsidRPr="00201C85">
        <w:rPr>
          <w:rFonts w:ascii="Times New Roman" w:hAnsi="Times New Roman" w:cs="Times New Roman"/>
          <w:b/>
          <w:color w:val="7D4D98" w:themeColor="accent6" w:themeShade="BF"/>
          <w:sz w:val="24"/>
          <w:szCs w:val="24"/>
        </w:rPr>
        <w:t xml:space="preserve">trajnuese për vitin akademik 2015-2016)                                                                     </w:t>
      </w:r>
    </w:p>
    <w:p w:rsidR="00CA7CDB" w:rsidRPr="00EA76BB" w:rsidRDefault="00CA7CDB" w:rsidP="00CA7CDB">
      <w:pPr>
        <w:jc w:val="center"/>
        <w:rPr>
          <w:rFonts w:ascii="Bookman Old Style" w:hAnsi="Bookman Old Style" w:cs="Calibri"/>
          <w:i/>
          <w:color w:val="0070C0"/>
        </w:rPr>
      </w:pPr>
      <w:r w:rsidRPr="00A21A1B">
        <w:rPr>
          <w:noProof/>
          <w:lang w:val="en-GB" w:eastAsia="en-GB"/>
        </w:rPr>
        <w:drawing>
          <wp:inline distT="0" distB="0" distL="0" distR="0">
            <wp:extent cx="5534025" cy="3219450"/>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7CDB" w:rsidRPr="00201C85" w:rsidRDefault="002C6647" w:rsidP="00201C85">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201C85">
        <w:rPr>
          <w:rFonts w:ascii="Times New Roman" w:hAnsi="Times New Roman" w:cs="Times New Roman"/>
          <w:b/>
          <w:color w:val="7D4D98" w:themeColor="accent6" w:themeShade="BF"/>
          <w:sz w:val="24"/>
          <w:szCs w:val="24"/>
        </w:rPr>
        <w:t>Grafiku Nr. 13</w:t>
      </w:r>
    </w:p>
    <w:p w:rsidR="00CA7CDB" w:rsidRDefault="002C6647" w:rsidP="00201C85">
      <w:pPr>
        <w:spacing w:after="0"/>
        <w:rPr>
          <w:rFonts w:ascii="Times New Roman" w:hAnsi="Times New Roman" w:cs="Times New Roman"/>
          <w:b/>
          <w:color w:val="7D4D98" w:themeColor="accent6" w:themeShade="BF"/>
          <w:sz w:val="24"/>
          <w:szCs w:val="24"/>
        </w:rPr>
      </w:pPr>
      <w:r>
        <w:rPr>
          <w:rFonts w:ascii="Times New Roman" w:hAnsi="Times New Roman" w:cs="Times New Roman"/>
          <w:b/>
          <w:color w:val="7D4D98" w:themeColor="accent6" w:themeShade="BF"/>
          <w:sz w:val="24"/>
          <w:szCs w:val="24"/>
        </w:rPr>
        <w:t xml:space="preserve">         </w:t>
      </w:r>
      <w:r w:rsidR="00CA7CDB" w:rsidRPr="00201C85">
        <w:rPr>
          <w:rFonts w:ascii="Times New Roman" w:hAnsi="Times New Roman" w:cs="Times New Roman"/>
          <w:b/>
          <w:color w:val="7D4D98" w:themeColor="accent6" w:themeShade="BF"/>
          <w:sz w:val="24"/>
          <w:szCs w:val="24"/>
        </w:rPr>
        <w:t xml:space="preserve"> (Ditët e trajnimit</w:t>
      </w:r>
      <w:r w:rsidR="00201C85">
        <w:rPr>
          <w:rFonts w:ascii="Times New Roman" w:hAnsi="Times New Roman" w:cs="Times New Roman"/>
          <w:b/>
          <w:color w:val="7D4D98" w:themeColor="accent6" w:themeShade="BF"/>
          <w:sz w:val="24"/>
          <w:szCs w:val="24"/>
        </w:rPr>
        <w:t xml:space="preserve"> të paraqitura në total për kategorinë </w:t>
      </w:r>
      <w:r w:rsidR="00CA7CDB" w:rsidRPr="00201C85">
        <w:rPr>
          <w:rFonts w:ascii="Times New Roman" w:hAnsi="Times New Roman" w:cs="Times New Roman"/>
          <w:b/>
          <w:color w:val="7D4D98" w:themeColor="accent6" w:themeShade="BF"/>
          <w:sz w:val="24"/>
          <w:szCs w:val="24"/>
        </w:rPr>
        <w:t xml:space="preserve">gjyqtar për vitin akademik 2015-2016) </w:t>
      </w:r>
    </w:p>
    <w:p w:rsidR="00201C85" w:rsidRPr="00201C85" w:rsidRDefault="00201C85" w:rsidP="00201C85">
      <w:pPr>
        <w:spacing w:after="0"/>
        <w:rPr>
          <w:rFonts w:ascii="Times New Roman" w:hAnsi="Times New Roman" w:cs="Times New Roman"/>
          <w:b/>
          <w:color w:val="7D4D98" w:themeColor="accent6" w:themeShade="BF"/>
          <w:sz w:val="24"/>
          <w:szCs w:val="24"/>
        </w:rPr>
      </w:pPr>
    </w:p>
    <w:p w:rsidR="00CA7CDB" w:rsidRPr="00EA76BB" w:rsidRDefault="00CA7CDB" w:rsidP="00CA7CDB">
      <w:pPr>
        <w:spacing w:after="0" w:line="240" w:lineRule="auto"/>
        <w:jc w:val="both"/>
        <w:rPr>
          <w:rFonts w:ascii="Bookman Old Style" w:hAnsi="Bookman Old Style" w:cs="Calibri"/>
        </w:rPr>
      </w:pPr>
      <w:r w:rsidRPr="00EA76BB">
        <w:rPr>
          <w:rFonts w:ascii="Bookman Old Style" w:hAnsi="Bookman Old Style" w:cs="Calibri"/>
        </w:rPr>
        <w:t>Bazuar në ligjin “Për Shkollën e Magjistraturës së Republikës së Shqipërisë” i ndryshuar përkatësisht neni 23: “</w:t>
      </w:r>
      <w:r w:rsidRPr="00EA76BB">
        <w:rPr>
          <w:rFonts w:ascii="Bookman Old Style" w:hAnsi="Bookman Old Style"/>
        </w:rPr>
        <w:t>Periudha e formimit vazhdues nuk duhet të kalojë më shumë se 20 ditë në vit dhe jo më shumë se 60 ditë gjatë pesë vjetëve.”, nga grafikët</w:t>
      </w:r>
      <w:r w:rsidRPr="00EA76BB">
        <w:rPr>
          <w:rFonts w:ascii="Bookman Old Style" w:hAnsi="Bookman Old Style" w:cs="Calibri"/>
        </w:rPr>
        <w:t xml:space="preserve"> vihet re se gjatë këtij vitit akademik 20% e gjyqtarëve kanë frekuentuar aktivitetet trajnuese në kufijtë 5-10 ditë. Ndërsa pjesa më e madhe, 30%, kanë frekuentuar aktivitetet trajnuese në kufijtë 1-3 ditë. Për prokurorët numri i ditëve është akoma më i ulët, pasi pjesa më e madhe prej tyre kanë frekuentuar ndërmjet 1 dhe 3 ditëve. Gjithashtu nuk ka prokuro</w:t>
      </w:r>
      <w:r>
        <w:rPr>
          <w:rFonts w:ascii="Bookman Old Style" w:hAnsi="Bookman Old Style" w:cs="Calibri"/>
        </w:rPr>
        <w:t>r</w:t>
      </w:r>
      <w:r w:rsidRPr="00EA76BB">
        <w:rPr>
          <w:rFonts w:ascii="Bookman Old Style" w:hAnsi="Bookman Old Style" w:cs="Calibri"/>
        </w:rPr>
        <w:t xml:space="preserve">ë që të kenë frekuentuar 10-20 ditë apo më shumë se 20 ditë. </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Shkolla në marrëveshjen e mirëkuptimit me ekspertët /lehtësuesit si dhe me moderatorët ka parashikuar si detyrë të tyre evidentimin e këtyre vlerësimeve, detyrë që në pjesën dërrmuese </w:t>
      </w:r>
      <w:r w:rsidRPr="00EA76BB">
        <w:rPr>
          <w:rFonts w:ascii="Bookman Old Style" w:hAnsi="Bookman Old Style" w:cs="Calibri"/>
        </w:rPr>
        <w:lastRenderedPageBreak/>
        <w:t>ata e kanë kryer me korrektesë duke na ndihmuar maksimalisht në ecurinë pozitive të aktiviteteve trajnuese për vitin 2015 - 2016. Në këtë mënyrë, pas pothuajse çdo sesioni trajnues ose gjatë tij u përpoqëm të fokusoheshim më specifikisht tek interesat e tyre për të ardhmen. Kjo u realizua përmes pyetjeve direket ose duke parë interesin e shprehur gjatë diskutimeve ne sesionet trajnuese te frekuentuara prej tyre.</w:t>
      </w:r>
      <w:r w:rsidRPr="00EA76BB">
        <w:rPr>
          <w:rFonts w:ascii="Bookman Old Style" w:hAnsi="Bookman Old Style" w:cs="Calibri"/>
          <w:vertAlign w:val="superscript"/>
        </w:rPr>
        <w:footnoteReference w:id="6"/>
      </w:r>
    </w:p>
    <w:p w:rsidR="00CA7CDB" w:rsidRDefault="00CA7CDB" w:rsidP="00251B7E">
      <w:pPr>
        <w:numPr>
          <w:ilvl w:val="2"/>
          <w:numId w:val="2"/>
        </w:numPr>
        <w:spacing w:after="0" w:line="240" w:lineRule="auto"/>
        <w:jc w:val="both"/>
        <w:rPr>
          <w:rFonts w:ascii="Bookman Old Style" w:hAnsi="Bookman Old Style"/>
          <w:b/>
          <w:color w:val="7030A0"/>
          <w:sz w:val="24"/>
          <w:szCs w:val="24"/>
        </w:rPr>
      </w:pPr>
      <w:r w:rsidRPr="00251B7E">
        <w:rPr>
          <w:rFonts w:ascii="Bookman Old Style" w:hAnsi="Bookman Old Style"/>
          <w:b/>
          <w:color w:val="7030A0"/>
          <w:sz w:val="24"/>
          <w:szCs w:val="24"/>
        </w:rPr>
        <w:t>Pyetësorët e Vlerësimit</w:t>
      </w:r>
    </w:p>
    <w:p w:rsidR="00251B7E" w:rsidRPr="00251B7E" w:rsidRDefault="00251B7E" w:rsidP="00251B7E">
      <w:pPr>
        <w:spacing w:after="0" w:line="240" w:lineRule="auto"/>
        <w:ind w:left="930"/>
        <w:jc w:val="both"/>
        <w:rPr>
          <w:rFonts w:ascii="Bookman Old Style" w:hAnsi="Bookman Old Style"/>
          <w:b/>
          <w:color w:val="7030A0"/>
          <w:sz w:val="24"/>
          <w:szCs w:val="24"/>
        </w:rPr>
      </w:pPr>
    </w:p>
    <w:p w:rsidR="00CA7CDB" w:rsidRPr="00EA76BB" w:rsidRDefault="00CA7CDB" w:rsidP="00CA7CDB">
      <w:pPr>
        <w:jc w:val="both"/>
        <w:rPr>
          <w:rFonts w:ascii="Bookman Old Style" w:hAnsi="Bookman Old Style" w:cs="Calibri"/>
        </w:rPr>
      </w:pPr>
      <w:r w:rsidRPr="00EA76BB">
        <w:rPr>
          <w:rFonts w:ascii="Bookman Old Style" w:hAnsi="Bookman Old Style" w:cs="Calibri"/>
        </w:rPr>
        <w:t>Shkolla në marrëveshjen e mirëkuptimit me ekspertët /lehtësuesit si dhe me moderatorët ka parashikuar si detyrë të tyre evidentimin e këtyre vlerësimeve, detyrë që në pjesën dërrmuese ata e kanë kryer me korrektesë duke na ndihmuar maksimalisht në ecurinë pozitive të aktiviteteve trajnuese për vitin 2015-2016. Në këtë mënyrë, pas pothuajse çdo sesioni trajnues ose gjatë tij  u përpoqëm të fokusoheshim më specifikisht tek interesat e tyre për të ardhmen. Kjo u realizua përmes pyetjeve direkte ose duke parë interesin e shprehur gjatë diskutimeve ne sesionet trajnuese te frekuentuara prej tyre.</w:t>
      </w:r>
      <w:r w:rsidRPr="00EA76BB">
        <w:rPr>
          <w:rFonts w:ascii="Bookman Old Style" w:hAnsi="Bookman Old Style" w:cs="Calibri"/>
          <w:vertAlign w:val="superscript"/>
        </w:rPr>
        <w:footnoteReference w:id="7"/>
      </w:r>
    </w:p>
    <w:p w:rsidR="00CA7CDB" w:rsidRDefault="00CA7CDB" w:rsidP="00251B7E">
      <w:pPr>
        <w:numPr>
          <w:ilvl w:val="2"/>
          <w:numId w:val="2"/>
        </w:numPr>
        <w:spacing w:after="0" w:line="240" w:lineRule="auto"/>
        <w:jc w:val="both"/>
        <w:rPr>
          <w:rFonts w:ascii="Bookman Old Style" w:hAnsi="Bookman Old Style"/>
          <w:b/>
          <w:color w:val="7030A0"/>
          <w:sz w:val="24"/>
          <w:szCs w:val="24"/>
        </w:rPr>
      </w:pPr>
      <w:r w:rsidRPr="00251B7E">
        <w:rPr>
          <w:rFonts w:ascii="Bookman Old Style" w:hAnsi="Bookman Old Style"/>
          <w:b/>
          <w:color w:val="7030A0"/>
          <w:sz w:val="24"/>
          <w:szCs w:val="24"/>
        </w:rPr>
        <w:t>Fluksi i sesioneve për muaj</w:t>
      </w:r>
    </w:p>
    <w:p w:rsidR="00251B7E" w:rsidRPr="00251B7E" w:rsidRDefault="00251B7E" w:rsidP="00251B7E">
      <w:pPr>
        <w:spacing w:after="0" w:line="240" w:lineRule="auto"/>
        <w:ind w:left="930"/>
        <w:jc w:val="both"/>
        <w:rPr>
          <w:rFonts w:ascii="Bookman Old Style" w:hAnsi="Bookman Old Style"/>
          <w:b/>
          <w:color w:val="7030A0"/>
          <w:sz w:val="24"/>
          <w:szCs w:val="24"/>
        </w:rPr>
      </w:pPr>
    </w:p>
    <w:p w:rsidR="00CA7CDB" w:rsidRPr="00EA76BB" w:rsidRDefault="00CA7CDB" w:rsidP="00CA7CDB">
      <w:pPr>
        <w:jc w:val="both"/>
        <w:rPr>
          <w:rFonts w:ascii="Bookman Old Style" w:hAnsi="Bookman Old Style" w:cs="Calibri"/>
        </w:rPr>
      </w:pPr>
      <w:r w:rsidRPr="00EA76BB">
        <w:rPr>
          <w:rFonts w:ascii="Bookman Old Style" w:hAnsi="Bookman Old Style" w:cs="Calibri"/>
        </w:rPr>
        <w:t>Edhe këtë vit akademik sikurse u paraqit në këtë raport, Shkolla organizoi një numër trajnimesh të përafërt me vitin e kaluar akademik. Në fokus është pasur organizimi i  një numri të përshtatshëm sesionesh trajnuese, për të mundësuar një mirëorganizim të tyre, me qëllim arritjen e zhvillimit të aktiviteteve trajnuese efektive dhe vërtet produktive për auditorin.</w:t>
      </w:r>
    </w:p>
    <w:p w:rsidR="00CA7CDB" w:rsidRPr="00D65DAB" w:rsidRDefault="00CA7CDB" w:rsidP="00D65DAB">
      <w:pPr>
        <w:jc w:val="both"/>
        <w:rPr>
          <w:rFonts w:ascii="Bookman Old Style" w:hAnsi="Bookman Old Style"/>
          <w:b/>
          <w:bCs/>
          <w:color w:val="372971" w:themeColor="accent5" w:themeShade="80"/>
          <w:sz w:val="24"/>
          <w:szCs w:val="24"/>
        </w:rPr>
      </w:pPr>
      <w:bookmarkStart w:id="19" w:name="OLE_LINK17"/>
      <w:r w:rsidRPr="00D65DAB">
        <w:rPr>
          <w:rFonts w:ascii="Bookman Old Style" w:hAnsi="Bookman Old Style"/>
          <w:b/>
          <w:bCs/>
          <w:color w:val="372971" w:themeColor="accent5" w:themeShade="80"/>
          <w:sz w:val="24"/>
          <w:szCs w:val="24"/>
        </w:rPr>
        <w:t>2.4. Ekspertiza. Ekspertët</w:t>
      </w:r>
    </w:p>
    <w:bookmarkEnd w:id="19"/>
    <w:p w:rsidR="00CA7CDB" w:rsidRPr="00EA76BB" w:rsidRDefault="00CA7CDB" w:rsidP="00CA7CDB">
      <w:pPr>
        <w:jc w:val="both"/>
        <w:rPr>
          <w:rFonts w:ascii="Times New Roman" w:eastAsia="Times New Roman" w:hAnsi="Times New Roman"/>
          <w:sz w:val="24"/>
          <w:szCs w:val="24"/>
        </w:rPr>
      </w:pPr>
      <w:r w:rsidRPr="00EA76BB">
        <w:rPr>
          <w:rFonts w:ascii="Bookman Old Style" w:hAnsi="Bookman Old Style" w:cs="Calibri"/>
        </w:rPr>
        <w:t>Në lidhje me përzgjedhjen e ekspertëve të trajnimit vazhdues, vlen të theksohet se me Vendimin Nr 27, datë  15.07.2009 të Këshillit Drejtues të Shkollës së Magjistraturës “Për miratimin e Aneksit 10 “Për kriteret e përzgjedhjes së pedagogëvedhe trajnerëve të Shkollës së Magjistraturës.”,  ka përcaktuar kriteret ligjore që duhet të përmbushin aplikuesit si ekspertë të -formimit vazhdues, i cili ka pësuar përditësim në zbatim të ligjit nr.</w:t>
      </w:r>
      <w:r w:rsidRPr="00EA76BB">
        <w:rPr>
          <w:i/>
          <w:sz w:val="24"/>
          <w:szCs w:val="24"/>
        </w:rPr>
        <w:t>nr. 97/2014</w:t>
      </w:r>
      <w:r w:rsidRPr="00EA76BB">
        <w:rPr>
          <w:rFonts w:ascii="Bookman Old Style" w:hAnsi="Bookman Old Style" w:cs="Calibri"/>
        </w:rPr>
        <w:t xml:space="preserve">.  </w:t>
      </w:r>
      <w:r w:rsidRPr="00EA76BB">
        <w:rPr>
          <w:rFonts w:ascii="Times New Roman" w:eastAsia="Times New Roman" w:hAnsi="Times New Roman"/>
          <w:sz w:val="24"/>
          <w:szCs w:val="24"/>
        </w:rPr>
        <w:t xml:space="preserve">Përkatësisht, përzgjedhja e trajnerëve të trajnimit Vazhdues do t'u nënshtrohet kritereve, si vijon: eksperiencë mbi 15-vjeçare si juristë dhe eksperiencë mësimdhënëse universitare apo në Shkollën e Magjistraturës mbi 10 vjet; ose eksperiencë mbi 10 vjeçare si gjyqtar ose prokuror dhe eksperiencë mësimdhënie universitare apo në Shkollën e Magjistraturës mbi 5 vjet; përvoja profesionale e specifikuar në fushën/kursin/temën për të cilën do të jenë ekspertë. Për seminaret me tema specifike të Programit të Trajnimit Vazhdues mund të aktivizohen specialistë të atyre fushave, të cilët duhet të plotësojnë kriteret: të ketë një eksperiencë si gjyqtar, prokuror apo avokat të paktën 10 vjeçare; të ketë një eksperiencë pedagogjike ose trajnuese të paktën 3 vjeçare; përvoja profesionale e specifikuar në fushën/kursin/temën për të cilën do të jenë ekspertë. Kritere shtesë të rëndësishëm për përzgjedhjen e të gjithë pedagogëve, trajnerëve, ekspertëve, specialistëve të cilët duhet të konkurrojnë në mënyrë kumulative me kriteret ligjore janë: integriteti moral dhe reputacioni i mirë në detyrën e tyre. Këshilli  Evropës dhe Komisioni Evropian rekomandojnë se një kriter </w:t>
      </w:r>
      <w:r w:rsidRPr="00EA76BB">
        <w:rPr>
          <w:rFonts w:ascii="Times New Roman" w:eastAsia="Times New Roman" w:hAnsi="Times New Roman"/>
          <w:sz w:val="24"/>
          <w:szCs w:val="24"/>
        </w:rPr>
        <w:lastRenderedPageBreak/>
        <w:t xml:space="preserve">shtesë që duhet të futet në procedurën për përzgjedhjen, vlerësimin dhe përfundimin e punësim trajnerëve është </w:t>
      </w:r>
      <w:r w:rsidRPr="00EA76BB">
        <w:rPr>
          <w:rFonts w:ascii="Times New Roman" w:eastAsia="Times New Roman" w:hAnsi="Times New Roman"/>
          <w:sz w:val="24"/>
          <w:szCs w:val="24"/>
          <w:u w:val="single"/>
        </w:rPr>
        <w:t>integriteti moral i trajnerit,</w:t>
      </w:r>
      <w:r w:rsidRPr="00EA76BB">
        <w:rPr>
          <w:rFonts w:ascii="Times New Roman" w:eastAsia="Times New Roman" w:hAnsi="Times New Roman"/>
          <w:sz w:val="24"/>
          <w:szCs w:val="24"/>
        </w:rPr>
        <w:t xml:space="preserve"> i cili ka të bëjë me respektimin e  vazhdueshëm të rregullave në detyrën e tij/saj si edhe kriteret specifike në cilësinë e tyre si trajner të shkollës; ndjekja e të paktën dy sesioneve të trajnimit të trajnerëve që organizon Shkolla e Magjistraturës brenda vitit akademik; të ketë aftësi të larta në komunikim; aktiviteti shkencor në formën e botimeve; të përfundoj detyrat e ngarkuara brenda afateve të vëna nga Këshilli Drejtues dhe nga Këshilli Pedagogjik; të ketë aftësitë e nevojshme për të vlerësuar nevojat për trajnimin profesional të gjyqtarëve dhe të prokurorëve; të ketë aftësitë e nevojshme për të bërë vlerësimin e aktiviteteve të trajnimit profesional; të frekuentojë aktivitetet për të cilat i duhet të udhëtojë brenda dhe jashtë vendit; njohja e një gjuhe të huaj të Bashkimit Evropian ose më gjerë; aftësitë për përdorimin e kompjuterit.</w:t>
      </w:r>
    </w:p>
    <w:p w:rsidR="00CA7CDB" w:rsidRPr="00EA76BB" w:rsidRDefault="00CA7CDB" w:rsidP="00CA7CDB">
      <w:pPr>
        <w:spacing w:after="0" w:line="240" w:lineRule="auto"/>
        <w:jc w:val="both"/>
        <w:rPr>
          <w:rFonts w:ascii="Times New Roman" w:eastAsia="Times New Roman" w:hAnsi="Times New Roman"/>
          <w:sz w:val="24"/>
          <w:szCs w:val="24"/>
        </w:rPr>
      </w:pPr>
      <w:r w:rsidRPr="00EA76BB">
        <w:rPr>
          <w:rFonts w:ascii="Times New Roman" w:eastAsia="Times New Roman" w:hAnsi="Times New Roman"/>
          <w:sz w:val="24"/>
          <w:szCs w:val="24"/>
        </w:rPr>
        <w:t>Pranimi dhe emërimi i gjyqtarëve a prokurorëve si pedagogë të brendshëm kryhet duke konkurruar sipas kritereve të kësaj rregullore, si dhe pasi të jetë dhënë pëlqimi, përkatësisht, nga Këshilli i Lartë i Drejtësisë ose Prokurori i Përgjithshëm, sipas kërkesës dhe propozimeve të Këshillit Drejtues të Shkollës së Magjistraturës</w:t>
      </w:r>
    </w:p>
    <w:p w:rsidR="00CA7CDB" w:rsidRPr="00EA76BB" w:rsidRDefault="00CA7CDB" w:rsidP="00CA7CDB">
      <w:pPr>
        <w:spacing w:after="0" w:line="240" w:lineRule="auto"/>
        <w:rPr>
          <w:rFonts w:ascii="Times New Roman" w:eastAsia="Times New Roman" w:hAnsi="Times New Roman"/>
          <w:sz w:val="20"/>
          <w:szCs w:val="20"/>
        </w:rPr>
      </w:pP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Shkolla ka synuar  të përzgjedhë me cilësinë e ekspertëve, gjyqtarë e prokurorë  me eksperiencë të gjatë në ushtrimin e funksionit te tyre, për të qenë më afër problematikave të praktikës gjyqësore. Një ndihmesë të madhe në përzgjedhjen cilësore të tyre natyrisht ka luajtur edhe vlerësimi që secili ekspert, lehtësues, apo moderator, ka marrë nga auditori para të cilit ata kanë dhënë ekspertizën e tyre.  Synimi i Shkollës është që të arrihet një gërshetim i ekspertizës në nivel teorik me atë praktik.  Nga ana  e shkollës u janë bërë ftesa të vazhdueshme gjyqtarëve dhe prokurorëve për të aplikuar si ekspertë të formimit vazhdues, por gjithnjë duke pasur në konsideratë kriteret ligjore në përzgjedhjen e tyre.  Në këtë drejtim ka vend për përmirësime të mëtejshme, por Shkolla nuk mund të arrijë rezultate të kënaqshme pa mbështetjen edhe të  aktorëve të rëndësishëm të sistemit të drejtësisë. Ajo çfarë duhet nënvizuar këtu është se, çdo gjyqtar e prokuror duhet të ndërgjegjësohet për domosdoshmërinë e ngritjes së tij profesionale, për t’ ju përgjigjur kërkesave të kohës. Shkolla e Magjistraturës e ka theksuar vazhdimisht se, është e hapur për çdo bashkëpunim që synon rritjen e nivelit të -formimit vazhdues, ndaj i mirëpret të gjitha sugjerimet që vijnë për përzgjedhjen e ekspertëve më të mirë shqiptarë. Synimi i Shkollës së Magjistraturës është që zhvillimi i aktiviteteve në kuadrin e formimit vazhdues, të krijojë një mundësi të mirë për të gjithë pjesëmarrësit, duke përfshirë edhe vetë ekspertët shqiptarë,  në shkëmbimin e eksperiencave të tyre profesionale, në funksion të përmirësimit të performancës së tyre në dhënien e drejtësisë.   </w:t>
      </w:r>
    </w:p>
    <w:p w:rsidR="00CA7CDB" w:rsidRPr="00EA76BB" w:rsidRDefault="00CA7CDB" w:rsidP="00CA7CDB">
      <w:pPr>
        <w:spacing w:after="0" w:line="240" w:lineRule="auto"/>
        <w:jc w:val="both"/>
        <w:rPr>
          <w:rFonts w:ascii="Bookman Old Style" w:eastAsia="Times New Roman" w:hAnsi="Bookman Old Style"/>
        </w:rPr>
      </w:pPr>
      <w:r w:rsidRPr="00EA76BB">
        <w:rPr>
          <w:rFonts w:ascii="Bookman Old Style" w:eastAsia="Times New Roman" w:hAnsi="Bookman Old Style"/>
        </w:rPr>
        <w:t>Për seminaret me tema specifike të Programit të Formimit Vazhdues është treguar kujdes i veçantë duke aktivizuar specialistë me qëllim rritjen e cilësisë së aktiviteteve në lidhje me qartësimin, thellimin dhe pasurimin e njohurive në këto fusha.</w:t>
      </w:r>
    </w:p>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Ekspertë shqiptarë kontribuuan denjësisht në mbarëvajtjen e programit. Shkolla e Magjistraturës ka bërë të gjitha përpjekjet që në listën e ekspertëve të saj të jenë emra të spikatur në zbatimin e së drejtës dhe njohës të mirë të saj si nga ana teorike, ashtu edhe nga ajo praktike. Shkolla u ka bërë ftesë gjithnjë si trajnues edhe gjyqtarëve e prokurorëve të rretheve duke u krijuar të gjitha mundësitë që të sugjerojnë kolegë apo veten lidhur me ekspertiza të veçanta, në fusha të veçanta. Listat e ekspertëve për vitin akademik 2015– 2016 </w:t>
      </w:r>
      <w:r w:rsidRPr="00EA76BB">
        <w:rPr>
          <w:rFonts w:ascii="Bookman Old Style" w:hAnsi="Bookman Old Style" w:cs="Calibri"/>
        </w:rPr>
        <w:lastRenderedPageBreak/>
        <w:t>reflektuan ndryshime të ndjeshme duke sjellë në cilësinë e ekspertit/ moderatorit/lehtësuesit emra të rinj të vlerësuar për kontributet e tyre në fushën e së drejtës, gjë që solli edhe rritje të cilësisë së aktiviteteve trajnuese që u organizuan gjatë vitit.</w:t>
      </w:r>
    </w:p>
    <w:p w:rsidR="00CA7CDB" w:rsidRPr="00EA76BB" w:rsidRDefault="00CA7CDB" w:rsidP="00CA7CDB">
      <w:pPr>
        <w:jc w:val="both"/>
        <w:rPr>
          <w:rFonts w:ascii="Bookman Old Style" w:eastAsia="MS Mincho" w:hAnsi="Bookman Old Style" w:cs="Calibri"/>
        </w:rPr>
      </w:pPr>
      <w:r w:rsidRPr="00EA76BB">
        <w:rPr>
          <w:rFonts w:ascii="Bookman Old Style" w:hAnsi="Bookman Old Style" w:cs="Calibri"/>
          <w:b/>
        </w:rPr>
        <w:t>Ndër Ekspertët shqiptarë përmendim</w:t>
      </w:r>
      <w:r w:rsidRPr="00EA76BB">
        <w:rPr>
          <w:rFonts w:ascii="Bookman Old Style" w:hAnsi="Bookman Old Style" w:cs="Calibri"/>
        </w:rPr>
        <w:t>:</w:t>
      </w:r>
      <w:r w:rsidRPr="00EA76BB">
        <w:rPr>
          <w:rFonts w:ascii="Bookman Old Style" w:eastAsia="MS Mincho" w:hAnsi="Bookman Old Style" w:cs="Calibri"/>
        </w:rPr>
        <w:t>Dritan Rreshka, Aurela Anastasi, Sandër Simoni, Iva Zajmi, Albana Boksi, Marsida Xhaferllari, Mariana Semini, Evis Almehmeti, Vilma Sharofi, Reida Kashta, Arta Mandro, Gentian Osmani, Elda Vrioni, Kastriot Selita, Madrid Kullolli, Vangjel Kosta, Ervin Metalla, Admir Belishta, G</w:t>
      </w:r>
      <w:r>
        <w:rPr>
          <w:rFonts w:ascii="Bookman Old Style" w:eastAsia="MS Mincho" w:hAnsi="Bookman Old Style" w:cs="Calibri"/>
        </w:rPr>
        <w:t>erd Hoxha, Ardian Dvorani,</w:t>
      </w:r>
      <w:r w:rsidRPr="00EA76BB">
        <w:rPr>
          <w:rFonts w:ascii="Bookman Old Style" w:eastAsia="MS Mincho" w:hAnsi="Bookman Old Style" w:cs="Calibri"/>
        </w:rPr>
        <w:t xml:space="preserve"> Vitore Tusha, Arqilea Koça, Arian </w:t>
      </w:r>
      <w:r>
        <w:rPr>
          <w:rFonts w:ascii="Bookman Old Style" w:eastAsia="MS Mincho" w:hAnsi="Bookman Old Style" w:cs="Calibri"/>
        </w:rPr>
        <w:t xml:space="preserve">Mucaj, Irma Balli, Artan Hoxha, </w:t>
      </w:r>
      <w:r w:rsidRPr="00EA76BB">
        <w:rPr>
          <w:rFonts w:ascii="Bookman Old Style" w:eastAsia="MS Mincho" w:hAnsi="Bookman Old Style" w:cs="Calibri"/>
        </w:rPr>
        <w:t xml:space="preserve">Klodian Kurushi, Margarita Buhali, Arben Isaraj, Elira Kokona, Dritan Banushi, Alma Liçaj, Fatri Islamaj, Dritan Peka, Sokol Sadushi, Gent Ibrahimi, Amarildo Laçi, Arben Rakipi, Skënder Kaçupi, Henrik Ligori, Mariana Dedi, Saida Dollani, Arben Malaj, Evelina Qirjako, Idlir Peçi, Dashamir Kore, Përparim Kalo, Artan Hajdari, Bashkim Dedja, Sokol Berberi, Altina Nasufi, Ardjana Shehi (Kalo), Shamet Shabani, Eralda Met’hasani, Besnik Dervishi, Albert Meça, </w:t>
      </w:r>
      <w:r w:rsidRPr="00EA76BB">
        <w:rPr>
          <w:rFonts w:ascii="Bookman Old Style" w:eastAsia="MS Mincho" w:hAnsi="Bookman Old Style" w:cs="Calibri"/>
        </w:rPr>
        <w:tab/>
        <w:t>Alma Faskaj,</w:t>
      </w:r>
      <w:r w:rsidRPr="00EA76BB">
        <w:rPr>
          <w:rFonts w:ascii="Bookman Old Style" w:eastAsia="MS Mincho" w:hAnsi="Bookman Old Style" w:cs="Calibri"/>
        </w:rPr>
        <w:tab/>
        <w:t xml:space="preserve">Besnik Muçi, Olsian Çela, Ina Rama, Fehmi Abdiu, Alma Hicka, Luljeta Ikonomi, Xhezair Zaganjori, Albana Shtylla, Arta Vorpsi, Artur Selmani.                             </w:t>
      </w:r>
    </w:p>
    <w:p w:rsidR="00CA7CDB" w:rsidRPr="00EA76BB" w:rsidRDefault="00CA7CDB" w:rsidP="00CA7CDB">
      <w:pPr>
        <w:jc w:val="both"/>
        <w:rPr>
          <w:rFonts w:ascii="Bookman Old Style" w:eastAsia="MS Mincho" w:hAnsi="Bookman Old Style" w:cs="Calibri"/>
        </w:rPr>
      </w:pPr>
      <w:r w:rsidRPr="00EA76BB">
        <w:rPr>
          <w:rFonts w:ascii="Bookman Old Style" w:hAnsi="Bookman Old Style" w:cs="Calibri"/>
        </w:rPr>
        <w:t xml:space="preserve">Një kontribut të veçantë dhanë me mbështetjen e tyre në rolin e lehtësuesit: </w:t>
      </w:r>
      <w:r w:rsidRPr="00EA76BB">
        <w:rPr>
          <w:rFonts w:ascii="Bookman Old Style" w:eastAsia="MS Mincho" w:hAnsi="Bookman Old Style" w:cs="Calibri"/>
        </w:rPr>
        <w:t xml:space="preserve">Fatmir Kazazi, Noela Ruço, Lindita Sinani, Manjola Bejleri, Vojsava Osmanaj, Artan Gjermeni, Ornela Naqellari, Genci Çifligu, Rezarta Mataj, Bezart Kaçkini, Genti Çani, Mirela Bogdani, Florjan Kalaja, Valbona Durraj, Manjola Xhaxho, Aida Bushati, </w:t>
      </w:r>
      <w:r w:rsidRPr="00EA76BB">
        <w:rPr>
          <w:rFonts w:ascii="Bookman Old Style" w:eastAsia="MS Mincho" w:hAnsi="Bookman Old Style" w:cs="Calibri"/>
        </w:rPr>
        <w:tab/>
        <w:t xml:space="preserve">Entela Nikaj, Enkeleda Millonai, Engjëllushe Tahiri, Dritan Hallunaj, </w:t>
      </w:r>
      <w:r>
        <w:rPr>
          <w:rFonts w:ascii="Bookman Old Style" w:eastAsia="MS Mincho" w:hAnsi="Bookman Old Style" w:cs="Calibri"/>
        </w:rPr>
        <w:t xml:space="preserve">Adelajda Gjuzi, Alma Kodraliu, </w:t>
      </w:r>
      <w:r w:rsidRPr="00EA76BB">
        <w:rPr>
          <w:rFonts w:ascii="Bookman Old Style" w:eastAsia="MS Mincho" w:hAnsi="Bookman Old Style" w:cs="Calibri"/>
        </w:rPr>
        <w:t>Fuat Vjerdha, Valbona Vata, Elo</w:t>
      </w:r>
      <w:r>
        <w:rPr>
          <w:rFonts w:ascii="Bookman Old Style" w:eastAsia="MS Mincho" w:hAnsi="Bookman Old Style" w:cs="Calibri"/>
        </w:rPr>
        <w:t xml:space="preserve">na Mihali, </w:t>
      </w:r>
      <w:r w:rsidRPr="00EA76BB">
        <w:rPr>
          <w:rFonts w:ascii="Bookman Old Style" w:eastAsia="MS Mincho" w:hAnsi="Bookman Old Style" w:cs="Calibri"/>
        </w:rPr>
        <w:t>Al</w:t>
      </w:r>
      <w:r>
        <w:rPr>
          <w:rFonts w:ascii="Bookman Old Style" w:eastAsia="MS Mincho" w:hAnsi="Bookman Old Style" w:cs="Calibri"/>
        </w:rPr>
        <w:t xml:space="preserve">fred Agolli, Elsa Toska, Joana </w:t>
      </w:r>
      <w:r w:rsidRPr="00EA76BB">
        <w:rPr>
          <w:rFonts w:ascii="Bookman Old Style" w:eastAsia="MS Mincho" w:hAnsi="Bookman Old Style" w:cs="Calibri"/>
        </w:rPr>
        <w:t xml:space="preserve">Qeleshi, Sotir Kllapi, Denisa Asko, Lida Leskaj, Arbena Ahmeti, Niko Rapi.           </w:t>
      </w:r>
    </w:p>
    <w:p w:rsidR="00CA7CDB" w:rsidRPr="00EA76BB" w:rsidRDefault="00CA7CDB" w:rsidP="00CA7CDB">
      <w:pPr>
        <w:shd w:val="clear" w:color="auto" w:fill="FFFFFF"/>
        <w:jc w:val="both"/>
        <w:rPr>
          <w:rFonts w:ascii="Bookman Old Style" w:hAnsi="Bookman Old Style" w:cs="Calibri"/>
          <w:color w:val="000000"/>
        </w:rPr>
      </w:pPr>
      <w:r w:rsidRPr="00EA76BB">
        <w:rPr>
          <w:rFonts w:ascii="Bookman Old Style" w:hAnsi="Bookman Old Style" w:cs="Calibri"/>
          <w:b/>
          <w:bCs/>
          <w:color w:val="000000"/>
        </w:rPr>
        <w:t xml:space="preserve">Ekspertë të huaj </w:t>
      </w:r>
      <w:r w:rsidRPr="00EA76BB">
        <w:rPr>
          <w:rFonts w:ascii="Bookman Old Style" w:hAnsi="Bookman Old Style" w:cs="Calibri"/>
          <w:bCs/>
          <w:color w:val="000000"/>
        </w:rPr>
        <w:t>kontribuuan</w:t>
      </w:r>
      <w:r w:rsidRPr="00EA76BB">
        <w:rPr>
          <w:rFonts w:ascii="Bookman Old Style" w:hAnsi="Bookman Old Style" w:cs="Calibri"/>
          <w:color w:val="000000"/>
        </w:rPr>
        <w:t xml:space="preserve"> gjithashtu denjësisht në mbarëvajtjen e programit. Kjo u bë e mundur në sajë të seancave të pjesëmarrjes së përbashkët të ekspertëve të shqiptarë dhe të huaj duke krijuar një atmosferë njohjeje më të thelluar të aspektit të përqasjes së legjislacionit vendas me atë ndërkombëtar, në fusha të ndryshme.</w:t>
      </w:r>
    </w:p>
    <w:p w:rsidR="00CA7CDB" w:rsidRPr="00EA76BB" w:rsidRDefault="00CA7CDB" w:rsidP="00CA7CDB">
      <w:pPr>
        <w:overflowPunct w:val="0"/>
        <w:autoSpaceDE w:val="0"/>
        <w:autoSpaceDN w:val="0"/>
        <w:adjustRightInd w:val="0"/>
        <w:spacing w:line="280" w:lineRule="exact"/>
        <w:jc w:val="both"/>
        <w:textAlignment w:val="baseline"/>
        <w:rPr>
          <w:rFonts w:ascii="Bookman Old Style" w:hAnsi="Bookman Old Style" w:cs="Calibri"/>
        </w:rPr>
      </w:pPr>
      <w:r w:rsidRPr="00EA76BB">
        <w:rPr>
          <w:rFonts w:ascii="Bookman Old Style" w:hAnsi="Bookman Old Style" w:cs="Calibri"/>
          <w:color w:val="000000"/>
        </w:rPr>
        <w:t xml:space="preserve">Si të tillë përmendim mbështetjen me ekspertizë të: </w:t>
      </w:r>
      <w:r w:rsidRPr="00EA76BB">
        <w:rPr>
          <w:rFonts w:ascii="Bookman Old Style" w:hAnsi="Bookman Old Style" w:cs="Calibri"/>
        </w:rPr>
        <w:t>Philippe Peretti, Annet Koopsen, Robert van der Ende, Kees Klomp, Diego Del Vecch</w:t>
      </w:r>
      <w:r>
        <w:rPr>
          <w:rFonts w:ascii="Bookman Old Style" w:hAnsi="Bookman Old Style" w:cs="Calibri"/>
        </w:rPr>
        <w:t xml:space="preserve">io, Antonio Balsamo, Francesco </w:t>
      </w:r>
      <w:r w:rsidRPr="00EA76BB">
        <w:rPr>
          <w:rFonts w:ascii="Bookman Old Style" w:hAnsi="Bookman Old Style" w:cs="Calibri"/>
        </w:rPr>
        <w:t>Menditto, Giuliana Merola, Emilio Gatti, Mallo</w:t>
      </w:r>
      <w:r>
        <w:rPr>
          <w:rFonts w:ascii="Bookman Old Style" w:hAnsi="Bookman Old Style" w:cs="Calibri"/>
        </w:rPr>
        <w:t xml:space="preserve">ry Völker, Ursula Rölke, Petra </w:t>
      </w:r>
      <w:r w:rsidRPr="00EA76BB">
        <w:rPr>
          <w:rFonts w:ascii="Bookman Old Style" w:hAnsi="Bookman Old Style" w:cs="Calibri"/>
        </w:rPr>
        <w:t xml:space="preserve">Padberg, Fulvio Baldi, Pascal Cardonnel, </w:t>
      </w:r>
      <w:r w:rsidRPr="00EA76BB">
        <w:rPr>
          <w:rFonts w:ascii="Bookman Old Style" w:hAnsi="Bookman Old Style" w:cs="Calibri"/>
        </w:rPr>
        <w:tab/>
        <w:t>Julia Todorova, Pierr</w:t>
      </w:r>
      <w:r>
        <w:rPr>
          <w:rFonts w:ascii="Bookman Old Style" w:hAnsi="Bookman Old Style" w:cs="Calibri"/>
        </w:rPr>
        <w:t xml:space="preserve">e Horna, Philip Rostant, </w:t>
      </w:r>
      <w:r w:rsidRPr="00EA76BB">
        <w:rPr>
          <w:rFonts w:ascii="Bookman Old Style" w:hAnsi="Bookman Old Style" w:cs="Calibri"/>
        </w:rPr>
        <w:t xml:space="preserve">Sir David Latham, Imke Rispens, Karina Dekens, </w:t>
      </w:r>
      <w:r w:rsidRPr="00EA76BB">
        <w:rPr>
          <w:rFonts w:ascii="Bookman Old Style" w:hAnsi="Bookman Old Style" w:cs="Calibri"/>
        </w:rPr>
        <w:tab/>
        <w:t>David Scannell, Michael H. Ryan, Jonathan Cooper, Sir Henry Brooke, Aileen McColgan, Tamara Laptos, Natasa Djurovic, M</w:t>
      </w:r>
      <w:r>
        <w:rPr>
          <w:rFonts w:ascii="Bookman Old Style" w:hAnsi="Bookman Old Style" w:cs="Calibri"/>
        </w:rPr>
        <w:t xml:space="preserve">arija Vucko, Armando Dalterio, Francesco Ciardi, </w:t>
      </w:r>
      <w:r w:rsidRPr="00EA76BB">
        <w:rPr>
          <w:rFonts w:ascii="Bookman Old Style" w:hAnsi="Bookman Old Style" w:cs="Calibri"/>
        </w:rPr>
        <w:t>Johann Rathgeb, Herald Palzer, Ignacio Tirado, Nuala Mole, Richard Regner, Jolanda de Boer, Marjan Wijers</w:t>
      </w:r>
      <w:r w:rsidRPr="00EA76BB">
        <w:rPr>
          <w:rFonts w:ascii="Bookman Old Style" w:hAnsi="Bookman Old Style"/>
          <w:color w:val="1F497D"/>
        </w:rPr>
        <w:t xml:space="preserve">. </w:t>
      </w:r>
    </w:p>
    <w:p w:rsidR="00CA7CDB" w:rsidRPr="00EA76BB" w:rsidRDefault="00CA7CDB" w:rsidP="00CA7CDB">
      <w:pPr>
        <w:shd w:val="clear" w:color="auto" w:fill="FFFFFF"/>
        <w:jc w:val="both"/>
        <w:rPr>
          <w:rFonts w:ascii="Bookman Old Style" w:hAnsi="Bookman Old Style" w:cs="Calibri"/>
        </w:rPr>
      </w:pPr>
      <w:r w:rsidRPr="00EA76BB">
        <w:rPr>
          <w:rFonts w:ascii="Bookman Old Style" w:hAnsi="Bookman Old Style" w:cs="Calibri"/>
          <w:b/>
          <w:bCs/>
          <w:color w:val="000000"/>
        </w:rPr>
        <w:t>Ekspertët ndërkombëtarë kontribuuan</w:t>
      </w:r>
      <w:r w:rsidRPr="00EA76BB">
        <w:rPr>
          <w:rFonts w:ascii="Bookman Old Style" w:hAnsi="Bookman Old Style" w:cs="Calibri"/>
        </w:rPr>
        <w:t xml:space="preserve">në mënyrë tepër cilësore në të gjitha aktivitetet trajnuese ku ishin të pranishëm duke sjellë një mbarëvajtje të kënaqshme të programit trajnues për vitin 2015 - 2016. Këto seanca të pjesëmarrjes së përbashkët të ekspertëve të vendit tonë dhe të huaj krijuan një atmosferë njohjeje të thelluar të aspektit të përqasjes së legjislacionit vendas me atë ndërkombëtar, në fusha të ndryshme. Edhe gjatë këtij viti u vu re vlerësimi pozitiv që ekspertët e huaj morën nga auditori pjesëmarrës, si dhe kërkesat për të pasur më </w:t>
      </w:r>
      <w:r w:rsidRPr="00EA76BB">
        <w:rPr>
          <w:rFonts w:ascii="Bookman Old Style" w:hAnsi="Bookman Old Style" w:cs="Calibri"/>
        </w:rPr>
        <w:lastRenderedPageBreak/>
        <w:t>shumë eksperienca të reja sa i takon ndërthurjes së aspekteve teorike me ato praktike, pasi pjesëmarrësit i mëshonin dukshëm aplikimit të informacioneve të prura në praktikën e punës së tyre të përditshme në terrenin shqiptar.</w:t>
      </w:r>
    </w:p>
    <w:p w:rsidR="00251B7E" w:rsidRPr="00EA76BB" w:rsidRDefault="00CA7CDB" w:rsidP="00CA7CDB">
      <w:pPr>
        <w:jc w:val="both"/>
        <w:rPr>
          <w:rFonts w:ascii="Bookman Old Style" w:hAnsi="Bookman Old Style" w:cs="Calibri"/>
          <w:b/>
        </w:rPr>
      </w:pPr>
      <w:r w:rsidRPr="00EA76BB">
        <w:rPr>
          <w:rFonts w:ascii="Bookman Old Style" w:hAnsi="Bookman Old Style" w:cs="Calibri"/>
          <w:b/>
        </w:rPr>
        <w:t>Seleksionimi i ekspertizës është gjithashtu një nga kontributet me vlerë që anëtarët e Këshillit Drejtues bashkërisht edhe individualisht i kanë dhënë Shkollës së Magjistraturës.</w:t>
      </w:r>
    </w:p>
    <w:p w:rsidR="00CA7CDB" w:rsidRPr="00D65DAB" w:rsidRDefault="00CA7CDB" w:rsidP="00D65DAB">
      <w:pPr>
        <w:jc w:val="both"/>
        <w:rPr>
          <w:rFonts w:ascii="Bookman Old Style" w:hAnsi="Bookman Old Style"/>
          <w:b/>
          <w:bCs/>
          <w:color w:val="372971" w:themeColor="accent5" w:themeShade="80"/>
          <w:sz w:val="24"/>
          <w:szCs w:val="24"/>
        </w:rPr>
      </w:pPr>
      <w:bookmarkStart w:id="20" w:name="OLE_LINK18"/>
      <w:bookmarkStart w:id="21" w:name="OLE_LINK19"/>
      <w:r w:rsidRPr="00D65DAB">
        <w:rPr>
          <w:rFonts w:ascii="Bookman Old Style" w:hAnsi="Bookman Old Style"/>
          <w:b/>
          <w:bCs/>
          <w:color w:val="372971" w:themeColor="accent5" w:themeShade="80"/>
          <w:sz w:val="24"/>
          <w:szCs w:val="24"/>
        </w:rPr>
        <w:t>2.5. Bashkëpunimi me aktorë të rëndësishëm të sistemit të drejtësisë në vendin tonë</w:t>
      </w:r>
    </w:p>
    <w:bookmarkEnd w:id="20"/>
    <w:bookmarkEnd w:id="21"/>
    <w:p w:rsidR="00CA7CDB" w:rsidRPr="00EA76BB" w:rsidRDefault="00CA7CDB" w:rsidP="00CA7CDB">
      <w:pPr>
        <w:jc w:val="both"/>
        <w:rPr>
          <w:rFonts w:ascii="Bookman Old Style" w:hAnsi="Bookman Old Style" w:cs="Calibri"/>
        </w:rPr>
      </w:pPr>
      <w:r w:rsidRPr="00EA76BB">
        <w:rPr>
          <w:rFonts w:ascii="Bookman Old Style" w:hAnsi="Bookman Old Style" w:cs="Calibri"/>
        </w:rPr>
        <w:t xml:space="preserve">Ky bashkëpunim është shprehur në forma të ndryshme. Si të tilla mund të përmendim bashkëpunimin me Këshillin e Lartë të Drejtësisë, Gjykatën e Lartë, Prokurorinë e Përgjithshme, etj. Këto bashkëpunime janë realizuar në formën e seminareve me qëllim që të sigurojë informacion bashkëkohor për perfeksionimin e gjyqtarëve dhe prokurorëve. </w:t>
      </w:r>
    </w:p>
    <w:p w:rsidR="00CA7CDB" w:rsidRPr="00EA76BB" w:rsidRDefault="00CA7CDB" w:rsidP="00CA7CDB">
      <w:pPr>
        <w:shd w:val="clear" w:color="auto" w:fill="FFFFFF"/>
        <w:jc w:val="both"/>
        <w:rPr>
          <w:rFonts w:ascii="Bookman Old Style" w:hAnsi="Bookman Old Style"/>
        </w:rPr>
      </w:pPr>
      <w:r w:rsidRPr="00EA76BB">
        <w:rPr>
          <w:rFonts w:ascii="Bookman Old Style" w:hAnsi="Bookman Old Style" w:cs="Calibri"/>
          <w:color w:val="000000"/>
        </w:rPr>
        <w:t xml:space="preserve">Shkolla, për realizimin e sesioneve trajnuese, është mbështetur edhe në bashkëpunimin me partnerët ndërkombëtarë, të cilët kanë dhënë një kontribut të konsiderueshëm në zhvillimin e veprimtarive për  perfeksionimin e mëtejshëm profesional të magjistratëve shqiptarë. Ndër bashkëpunëtorët ndërkombëtarë mund të përmendim: OPDAT, OSBE, </w:t>
      </w:r>
      <w:r w:rsidRPr="00EA76BB">
        <w:rPr>
          <w:rFonts w:ascii="Bookman Old Style" w:hAnsi="Bookman Old Style"/>
        </w:rPr>
        <w:t>Fondacioni “Terre des Hommes”, Komiteti i Helsinkit të Holandës, Këshilli i Evropës, Fondacioni Slynn, Delegacioni i Bashkimit Evropian, UNDP, Euralius IV, etj.</w:t>
      </w:r>
    </w:p>
    <w:p w:rsidR="00CA7CDB" w:rsidRPr="00EA76BB" w:rsidRDefault="00CA7CDB" w:rsidP="00CA7CDB">
      <w:pPr>
        <w:jc w:val="center"/>
        <w:rPr>
          <w:rFonts w:ascii="Bookman Old Style" w:hAnsi="Bookman Old Style" w:cs="Calibri"/>
          <w:noProof/>
          <w:color w:val="FF0000"/>
          <w:highlight w:val="yellow"/>
        </w:rPr>
      </w:pPr>
      <w:r w:rsidRPr="00A21A1B">
        <w:rPr>
          <w:rFonts w:ascii="Bookman Old Style" w:hAnsi="Bookman Old Style" w:cs="Calibri"/>
          <w:noProof/>
          <w:color w:val="FF0000"/>
          <w:lang w:val="en-GB" w:eastAsia="en-GB"/>
        </w:rPr>
        <w:drawing>
          <wp:inline distT="0" distB="0" distL="0" distR="0">
            <wp:extent cx="4819650" cy="3200400"/>
            <wp:effectExtent l="0" t="0" r="0" b="0"/>
            <wp:docPr id="5" name="Picture 5" descr="e drejta e Be 24-25 Mar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drejta e Be 24-25 Mars 201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9650" cy="3200400"/>
                    </a:xfrm>
                    <a:prstGeom prst="rect">
                      <a:avLst/>
                    </a:prstGeom>
                    <a:noFill/>
                    <a:ln>
                      <a:noFill/>
                    </a:ln>
                  </pic:spPr>
                </pic:pic>
              </a:graphicData>
            </a:graphic>
          </wp:inline>
        </w:drawing>
      </w:r>
    </w:p>
    <w:p w:rsidR="00CA7CDB" w:rsidRDefault="00CA7CDB" w:rsidP="00CA7CDB">
      <w:pPr>
        <w:jc w:val="both"/>
        <w:rPr>
          <w:rFonts w:ascii="Bookman Old Style" w:hAnsi="Bookman Old Style" w:cs="Calibri"/>
          <w:noProof/>
        </w:rPr>
      </w:pPr>
      <w:r w:rsidRPr="00EA76BB">
        <w:rPr>
          <w:rFonts w:ascii="Bookman Old Style" w:hAnsi="Bookman Old Style" w:cs="Calibri"/>
          <w:noProof/>
        </w:rPr>
        <w:t>Aktivitet i zhvilluar me Fondacionin Slynn ne lidhje me të Drejtën e BE në 24-25 Mars 2015.</w:t>
      </w:r>
    </w:p>
    <w:p w:rsidR="009C5D9C" w:rsidRPr="00EA76BB" w:rsidRDefault="009C5D9C" w:rsidP="00CA7CDB">
      <w:pPr>
        <w:jc w:val="both"/>
        <w:rPr>
          <w:rFonts w:ascii="Bookman Old Style" w:hAnsi="Bookman Old Style" w:cs="Calibri"/>
          <w:noProof/>
        </w:rPr>
      </w:pPr>
    </w:p>
    <w:p w:rsidR="00CA7CDB" w:rsidRPr="00EA76BB" w:rsidRDefault="00CA7CDB" w:rsidP="00CA7CDB">
      <w:pPr>
        <w:spacing w:after="0" w:line="240" w:lineRule="auto"/>
        <w:rPr>
          <w:rFonts w:ascii="Bookman Old Style" w:eastAsia="Times New Roman" w:hAnsi="Bookman Old Style" w:cs="Calibri"/>
          <w:b/>
          <w:noProof/>
          <w:color w:val="FF0000"/>
          <w:highlight w:val="yellow"/>
        </w:rPr>
      </w:pPr>
    </w:p>
    <w:p w:rsidR="00CA7CDB" w:rsidRPr="00D65DAB" w:rsidRDefault="00D65DAB" w:rsidP="00D65DAB">
      <w:pPr>
        <w:jc w:val="both"/>
        <w:rPr>
          <w:rFonts w:ascii="Bookman Old Style" w:hAnsi="Bookman Old Style"/>
          <w:b/>
          <w:bCs/>
          <w:color w:val="372971" w:themeColor="accent5" w:themeShade="80"/>
          <w:sz w:val="24"/>
          <w:szCs w:val="24"/>
        </w:rPr>
      </w:pPr>
      <w:bookmarkStart w:id="22" w:name="OLE_LINK20"/>
      <w:r>
        <w:rPr>
          <w:rFonts w:ascii="Bookman Old Style" w:hAnsi="Bookman Old Style"/>
          <w:b/>
          <w:bCs/>
          <w:color w:val="372971" w:themeColor="accent5" w:themeShade="80"/>
          <w:sz w:val="24"/>
          <w:szCs w:val="24"/>
        </w:rPr>
        <w:t>2.6</w:t>
      </w:r>
      <w:r w:rsidR="00CA7CDB" w:rsidRPr="00D65DAB">
        <w:rPr>
          <w:rFonts w:ascii="Bookman Old Style" w:hAnsi="Bookman Old Style"/>
          <w:b/>
          <w:bCs/>
          <w:color w:val="372971" w:themeColor="accent5" w:themeShade="80"/>
          <w:sz w:val="24"/>
          <w:szCs w:val="24"/>
        </w:rPr>
        <w:t>. Metodologjia e përdorur në hartimin e përmbajtjes tematike të Programit</w:t>
      </w:r>
    </w:p>
    <w:bookmarkEnd w:id="22"/>
    <w:p w:rsidR="00CA7CDB" w:rsidRPr="00EA76BB" w:rsidRDefault="00CA7CDB" w:rsidP="00CA7CDB">
      <w:pPr>
        <w:tabs>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man Old Style" w:hAnsi="Bookman Old Style" w:cs="Calibri"/>
        </w:rPr>
      </w:pPr>
      <w:r w:rsidRPr="00EA76BB">
        <w:rPr>
          <w:rFonts w:ascii="Bookman Old Style" w:hAnsi="Bookman Old Style" w:cs="Calibri"/>
        </w:rPr>
        <w:t xml:space="preserve">Ky informacion përsërit atë që është bërë në vitin 2006 kur u hartua PTV 2006-2009 dhe synon të përshkruajë gjithë procedurën e ndjekur nga Shkolla e Magjistraturës për hartimin e programit të ri të formimit vazhdues, i cili përfshinë periudhën 2015-2018. Qëllimi i këtij informacioni është, që të bëhet evident fakti i përpjekjeve që bëjmë në mënyrë të vazhdueshme, me qëllim që të ofrojmë një shërbim të një standardi sa më të lartë dhe sa më pranë kërkesave që paraqet sot sistemi ynë i drejtësisë, por edhe për t’u përballur me sfidat e së nesërmes. </w:t>
      </w:r>
    </w:p>
    <w:p w:rsidR="00CA7CDB" w:rsidRPr="00EA76BB" w:rsidRDefault="00CA7CDB" w:rsidP="00CA7CDB">
      <w:pPr>
        <w:tabs>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man Old Style" w:hAnsi="Bookman Old Style" w:cs="Calibri"/>
        </w:rPr>
      </w:pPr>
      <w:r w:rsidRPr="00EA76BB">
        <w:rPr>
          <w:rFonts w:ascii="Bookman Old Style" w:hAnsi="Bookman Old Style" w:cs="Calibri"/>
        </w:rPr>
        <w:t>Mbërritja e këtij dokumenti në formatin e duhur ka ndjekur një rrugë të gjatë. I tillë është vet procesi i identifikimit të nevojave. Procedura e përcaktimit të tematikës dhe e hartimit të PTV ka nisur muaj më parë. Në fakt nuk ka pasur ndërprerje në mbajtjen shënim të këtyre nevojave. Shkolla në vazhdimësi, edhe gjatë realizimit të programit ka pasur në qendër të vëmendjes identifikimin e nevojave të gjyqtarëve dhe prokurorëve në detyrë si dhe prioritetet e tyre për shkak të kërkesave të reformës në drejtësi. Këtu dallojmë hallka të tilla si:</w:t>
      </w:r>
    </w:p>
    <w:p w:rsidR="00CA7CDB" w:rsidRPr="00EA76BB" w:rsidRDefault="00CA7CDB" w:rsidP="003C4BF1">
      <w:pPr>
        <w:numPr>
          <w:ilvl w:val="0"/>
          <w:numId w:val="33"/>
        </w:numPr>
        <w:ind w:left="360"/>
        <w:rPr>
          <w:rFonts w:ascii="Bookman Old Style" w:hAnsi="Bookman Old Style" w:cs="Calibri"/>
        </w:rPr>
      </w:pPr>
      <w:r w:rsidRPr="00EA76BB">
        <w:rPr>
          <w:rFonts w:ascii="Bookman Old Style" w:hAnsi="Bookman Old Style" w:cs="Calibri"/>
        </w:rPr>
        <w:t>Mënyra e përcaktimit të tematikës</w:t>
      </w:r>
    </w:p>
    <w:p w:rsidR="00CA7CDB" w:rsidRPr="00EA76BB" w:rsidRDefault="00CA7CDB" w:rsidP="003C4BF1">
      <w:pPr>
        <w:numPr>
          <w:ilvl w:val="0"/>
          <w:numId w:val="33"/>
        </w:numPr>
        <w:ind w:left="360"/>
        <w:rPr>
          <w:rFonts w:ascii="Bookman Old Style" w:hAnsi="Bookman Old Style" w:cs="Calibri"/>
        </w:rPr>
      </w:pPr>
      <w:r w:rsidRPr="00EA76BB">
        <w:rPr>
          <w:rFonts w:ascii="Bookman Old Style" w:hAnsi="Bookman Old Style" w:cs="Calibri"/>
        </w:rPr>
        <w:t>Krijimi i grupit të ekspertëve që përshkruan përmbajtjen tematike të kurseve trajnuese.</w:t>
      </w:r>
    </w:p>
    <w:p w:rsidR="00CA7CDB" w:rsidRPr="00EA76BB" w:rsidRDefault="00CA7CDB" w:rsidP="003C4BF1">
      <w:pPr>
        <w:numPr>
          <w:ilvl w:val="0"/>
          <w:numId w:val="33"/>
        </w:numPr>
        <w:ind w:left="360"/>
        <w:rPr>
          <w:rFonts w:ascii="Bookman Old Style" w:hAnsi="Bookman Old Style" w:cs="Calibri"/>
        </w:rPr>
      </w:pPr>
      <w:r w:rsidRPr="00EA76BB">
        <w:rPr>
          <w:rFonts w:ascii="Bookman Old Style" w:hAnsi="Bookman Old Style" w:cs="Calibri"/>
        </w:rPr>
        <w:t>Miratimi i Programit prej Këshillit Drejtues.</w:t>
      </w:r>
    </w:p>
    <w:p w:rsidR="00CA7CDB" w:rsidRPr="00EA76BB" w:rsidRDefault="00CA7CDB" w:rsidP="003C4BF1">
      <w:pPr>
        <w:numPr>
          <w:ilvl w:val="0"/>
          <w:numId w:val="33"/>
        </w:numPr>
        <w:ind w:left="360"/>
        <w:rPr>
          <w:rFonts w:ascii="Bookman Old Style" w:hAnsi="Bookman Old Style" w:cs="Calibri"/>
        </w:rPr>
      </w:pPr>
      <w:r w:rsidRPr="00EA76BB">
        <w:rPr>
          <w:rFonts w:ascii="Bookman Old Style" w:hAnsi="Bookman Old Style" w:cs="Calibri"/>
        </w:rPr>
        <w:t>Mbështetja financiare për realizimin konkret të sesioneve të formimit vazhdues.</w:t>
      </w:r>
    </w:p>
    <w:p w:rsidR="00CA7CDB" w:rsidRPr="00EA76BB" w:rsidRDefault="00CA7CDB" w:rsidP="003C4BF1">
      <w:pPr>
        <w:numPr>
          <w:ilvl w:val="0"/>
          <w:numId w:val="33"/>
        </w:numPr>
        <w:ind w:left="360"/>
        <w:rPr>
          <w:rFonts w:ascii="Bookman Old Style" w:hAnsi="Bookman Old Style" w:cs="Calibri"/>
        </w:rPr>
      </w:pPr>
      <w:r w:rsidRPr="00EA76BB">
        <w:rPr>
          <w:rFonts w:ascii="Bookman Old Style" w:hAnsi="Bookman Old Style" w:cs="Calibri"/>
        </w:rPr>
        <w:t>Hartimi i kalendarit të aktiviteteve trajnuese.</w:t>
      </w:r>
    </w:p>
    <w:p w:rsidR="00CA7CDB" w:rsidRPr="00EA76BB" w:rsidRDefault="00CA7CDB" w:rsidP="003C4BF1">
      <w:pPr>
        <w:numPr>
          <w:ilvl w:val="0"/>
          <w:numId w:val="33"/>
        </w:numPr>
        <w:ind w:left="360"/>
        <w:rPr>
          <w:rFonts w:ascii="Bookman Old Style" w:hAnsi="Bookman Old Style" w:cs="Calibri"/>
        </w:rPr>
      </w:pPr>
      <w:r w:rsidRPr="00EA76BB">
        <w:rPr>
          <w:rFonts w:ascii="Bookman Old Style" w:hAnsi="Bookman Old Style" w:cs="Calibri"/>
        </w:rPr>
        <w:t>Përcaktimi i listës së ekspertëve.</w:t>
      </w:r>
    </w:p>
    <w:p w:rsidR="00CA7CDB" w:rsidRPr="00EA76BB" w:rsidRDefault="00CA7CDB" w:rsidP="003C4BF1">
      <w:pPr>
        <w:numPr>
          <w:ilvl w:val="0"/>
          <w:numId w:val="33"/>
        </w:numPr>
        <w:ind w:left="360"/>
        <w:rPr>
          <w:rFonts w:ascii="Bookman Old Style" w:hAnsi="Bookman Old Style" w:cs="Calibri"/>
        </w:rPr>
      </w:pPr>
      <w:r w:rsidRPr="00EA76BB">
        <w:rPr>
          <w:rFonts w:ascii="Bookman Old Style" w:hAnsi="Bookman Old Style" w:cs="Calibri"/>
        </w:rPr>
        <w:t>Hartimi i listave të pjesëmarrësve.</w:t>
      </w:r>
    </w:p>
    <w:p w:rsidR="00CA7CDB" w:rsidRDefault="00CA7CDB" w:rsidP="003C4BF1">
      <w:pPr>
        <w:numPr>
          <w:ilvl w:val="0"/>
          <w:numId w:val="33"/>
        </w:numPr>
        <w:ind w:left="360"/>
        <w:rPr>
          <w:rFonts w:ascii="Bookman Old Style" w:hAnsi="Bookman Old Style" w:cs="Calibri"/>
        </w:rPr>
      </w:pPr>
      <w:r w:rsidRPr="00EA76BB">
        <w:rPr>
          <w:rFonts w:ascii="Bookman Old Style" w:hAnsi="Bookman Old Style" w:cs="Calibri"/>
        </w:rPr>
        <w:t>Realizimi konkret i çdo sesioni trajnues.</w:t>
      </w:r>
    </w:p>
    <w:p w:rsidR="00D65DAB" w:rsidRDefault="00D65DAB" w:rsidP="00D65DAB">
      <w:pPr>
        <w:rPr>
          <w:rFonts w:ascii="Bookman Old Style" w:hAnsi="Bookman Old Style" w:cs="Calibri"/>
        </w:rPr>
      </w:pPr>
    </w:p>
    <w:p w:rsidR="00D65DAB" w:rsidRPr="00D65DAB" w:rsidRDefault="00D65DAB" w:rsidP="00D65DAB">
      <w:pPr>
        <w:jc w:val="both"/>
        <w:rPr>
          <w:rFonts w:ascii="Bookman Old Style" w:hAnsi="Bookman Old Style"/>
          <w:b/>
          <w:bCs/>
          <w:color w:val="372971" w:themeColor="accent5" w:themeShade="80"/>
          <w:sz w:val="24"/>
          <w:szCs w:val="24"/>
        </w:rPr>
      </w:pPr>
      <w:bookmarkStart w:id="23" w:name="OLE_LINK23"/>
      <w:r w:rsidRPr="00D65DAB">
        <w:rPr>
          <w:rFonts w:ascii="Bookman Old Style" w:hAnsi="Bookman Old Style"/>
          <w:b/>
          <w:bCs/>
          <w:color w:val="372971" w:themeColor="accent5" w:themeShade="80"/>
          <w:sz w:val="24"/>
          <w:szCs w:val="24"/>
        </w:rPr>
        <w:t>2.</w:t>
      </w:r>
      <w:r>
        <w:rPr>
          <w:rFonts w:ascii="Bookman Old Style" w:hAnsi="Bookman Old Style"/>
          <w:b/>
          <w:bCs/>
          <w:color w:val="372971" w:themeColor="accent5" w:themeShade="80"/>
          <w:sz w:val="24"/>
          <w:szCs w:val="24"/>
        </w:rPr>
        <w:t>7</w:t>
      </w:r>
      <w:r w:rsidRPr="00D65DAB">
        <w:rPr>
          <w:rFonts w:ascii="Bookman Old Style" w:hAnsi="Bookman Old Style"/>
          <w:b/>
          <w:bCs/>
          <w:color w:val="372971" w:themeColor="accent5" w:themeShade="80"/>
          <w:sz w:val="24"/>
          <w:szCs w:val="24"/>
        </w:rPr>
        <w:t xml:space="preserve"> TRAJNIMI I TRAJNERËVE</w:t>
      </w:r>
    </w:p>
    <w:bookmarkEnd w:id="23"/>
    <w:p w:rsidR="00D65DAB" w:rsidRPr="00EA76BB" w:rsidRDefault="00D65DAB" w:rsidP="00D65DAB">
      <w:pPr>
        <w:jc w:val="both"/>
        <w:rPr>
          <w:rFonts w:ascii="Bookman Old Style" w:hAnsi="Bookman Old Style"/>
          <w:b/>
          <w:color w:val="000000"/>
        </w:rPr>
      </w:pPr>
      <w:r w:rsidRPr="00EA76BB">
        <w:rPr>
          <w:rFonts w:ascii="Bookman Old Style" w:hAnsi="Bookman Old Style" w:cs="Calibri"/>
          <w:iCs/>
          <w:color w:val="000000"/>
        </w:rPr>
        <w:t>Në vitin akademik 2015-2016 nuk ka pasur aktivitete në formatin e trajnimit të trajnerëve. Kjo ka ardhur si rrjedhojë edhe e faktit se ka pasur shumë ekspertë të huaj që kanë marrë pjesë intensivisht në aktivitetet trajnuese duke qenë në komunikim të vazhdueshëm me ekspertët dhe trajnerët shqiptarë, gjë e cila ka sjellë një shpërndarje dhe ndërthurje jo vetëm të informacionit, por edhe të metodologjisë dhe elementëve thelbësorë përbërës të trajnimeve.</w:t>
      </w:r>
    </w:p>
    <w:p w:rsidR="00D65DAB" w:rsidRPr="00EA76BB" w:rsidRDefault="00D65DAB" w:rsidP="00D65DAB">
      <w:pPr>
        <w:rPr>
          <w:rFonts w:ascii="Bookman Old Style" w:hAnsi="Bookman Old Style" w:cs="Calibri"/>
        </w:rPr>
      </w:pPr>
    </w:p>
    <w:p w:rsidR="00CA7CDB" w:rsidRDefault="00CA7CDB" w:rsidP="00CA7CDB">
      <w:pPr>
        <w:rPr>
          <w:rFonts w:ascii="Times New Roman" w:hAnsi="Times New Roman" w:cs="Times New Roman"/>
          <w:sz w:val="24"/>
          <w:szCs w:val="24"/>
        </w:rPr>
      </w:pPr>
    </w:p>
    <w:p w:rsidR="00D754B9" w:rsidRDefault="00D754B9" w:rsidP="002E4C6C">
      <w:pPr>
        <w:rPr>
          <w:rFonts w:ascii="Times New Roman" w:hAnsi="Times New Roman" w:cs="Times New Roman"/>
          <w:sz w:val="24"/>
          <w:szCs w:val="24"/>
        </w:rPr>
      </w:pPr>
    </w:p>
    <w:p w:rsidR="00D754B9" w:rsidRPr="00D754B9" w:rsidRDefault="00D754B9" w:rsidP="00D754B9">
      <w:pPr>
        <w:autoSpaceDE w:val="0"/>
        <w:autoSpaceDN w:val="0"/>
        <w:adjustRightInd w:val="0"/>
        <w:jc w:val="both"/>
        <w:rPr>
          <w:rFonts w:ascii="Bookman Old Style" w:hAnsi="Bookman Old Style"/>
          <w:b/>
          <w:color w:val="533466" w:themeColor="accent6" w:themeShade="80"/>
          <w:sz w:val="32"/>
          <w:szCs w:val="32"/>
          <w:u w:color="333399"/>
        </w:rPr>
      </w:pPr>
      <w:r>
        <w:rPr>
          <w:rFonts w:ascii="Bookman Old Style" w:hAnsi="Bookman Old Style"/>
          <w:b/>
          <w:color w:val="533466" w:themeColor="accent6" w:themeShade="80"/>
          <w:sz w:val="32"/>
          <w:szCs w:val="32"/>
          <w:u w:color="333399"/>
        </w:rPr>
        <w:lastRenderedPageBreak/>
        <w:t>3</w:t>
      </w:r>
      <w:r w:rsidRPr="00D754B9">
        <w:rPr>
          <w:rFonts w:ascii="Bookman Old Style" w:hAnsi="Bookman Old Style"/>
          <w:b/>
          <w:color w:val="533466" w:themeColor="accent6" w:themeShade="80"/>
          <w:sz w:val="32"/>
          <w:szCs w:val="32"/>
          <w:u w:color="333399"/>
        </w:rPr>
        <w:t>. BOTIME, PUBLIKIME DHE STUDIME</w:t>
      </w:r>
    </w:p>
    <w:p w:rsidR="00D754B9" w:rsidRPr="005D459F" w:rsidRDefault="005D459F" w:rsidP="00D754B9">
      <w:pPr>
        <w:jc w:val="both"/>
        <w:rPr>
          <w:rFonts w:ascii="Bookman Old Style" w:hAnsi="Bookman Old Style"/>
          <w:b/>
          <w:bCs/>
          <w:color w:val="372971" w:themeColor="accent5" w:themeShade="80"/>
          <w:sz w:val="24"/>
          <w:szCs w:val="24"/>
        </w:rPr>
      </w:pPr>
      <w:r>
        <w:rPr>
          <w:rFonts w:ascii="Bookman Old Style" w:hAnsi="Bookman Old Style"/>
          <w:b/>
          <w:bCs/>
          <w:color w:val="372971" w:themeColor="accent5" w:themeShade="80"/>
          <w:sz w:val="24"/>
          <w:szCs w:val="24"/>
        </w:rPr>
        <w:t>3</w:t>
      </w:r>
      <w:r w:rsidR="00D754B9" w:rsidRPr="005D459F">
        <w:rPr>
          <w:rFonts w:ascii="Bookman Old Style" w:hAnsi="Bookman Old Style"/>
          <w:b/>
          <w:bCs/>
          <w:color w:val="372971" w:themeColor="accent5" w:themeShade="80"/>
          <w:sz w:val="24"/>
          <w:szCs w:val="24"/>
        </w:rPr>
        <w:t>.1 Botime për Revistën "Jeta Juridike" për vitin akademik  2015 – 2016</w:t>
      </w:r>
    </w:p>
    <w:p w:rsidR="00D754B9" w:rsidRPr="00F02DA5" w:rsidRDefault="00D754B9" w:rsidP="00D754B9">
      <w:pPr>
        <w:jc w:val="both"/>
        <w:rPr>
          <w:rFonts w:ascii="Bookman Old Style" w:hAnsi="Bookman Old Style" w:cs="Times New Roman"/>
          <w:lang w:val="en-GB"/>
        </w:rPr>
      </w:pPr>
      <w:r w:rsidRPr="00F02DA5">
        <w:rPr>
          <w:rFonts w:ascii="Bookman Old Style" w:hAnsi="Bookman Old Style" w:cs="Times New Roman"/>
          <w:lang w:val="en-GB"/>
        </w:rPr>
        <w:t xml:space="preserve">Shkolla e Magjistraturës </w:t>
      </w:r>
      <w:r w:rsidR="005D459F">
        <w:rPr>
          <w:rFonts w:ascii="Bookman Old Style" w:hAnsi="Bookman Old Style" w:cs="Times New Roman"/>
          <w:lang w:val="en-GB"/>
        </w:rPr>
        <w:t xml:space="preserve">boton nën emrin dhe kujdesin e </w:t>
      </w:r>
      <w:r w:rsidRPr="00F02DA5">
        <w:rPr>
          <w:rFonts w:ascii="Bookman Old Style" w:hAnsi="Bookman Old Style" w:cs="Times New Roman"/>
          <w:lang w:val="en-GB"/>
        </w:rPr>
        <w:t xml:space="preserve">saj revistën “Jeta  Juridike”, revistë periodike katër mujore, që botohet në gjuhët shqipe dhe në gjuhën angleze.” </w:t>
      </w:r>
    </w:p>
    <w:p w:rsidR="00D754B9" w:rsidRPr="00F02DA5" w:rsidRDefault="00D754B9" w:rsidP="00D754B9">
      <w:pPr>
        <w:autoSpaceDE w:val="0"/>
        <w:autoSpaceDN w:val="0"/>
        <w:adjustRightInd w:val="0"/>
        <w:jc w:val="both"/>
        <w:rPr>
          <w:rFonts w:ascii="Bookman Old Style" w:hAnsi="Bookman Old Style" w:cs="Times New Roman"/>
          <w:b/>
          <w:lang w:val="en-GB"/>
        </w:rPr>
      </w:pPr>
      <w:r w:rsidRPr="00F02DA5">
        <w:rPr>
          <w:rFonts w:ascii="Bookman Old Style" w:hAnsi="Bookman Old Style" w:cs="Times New Roman"/>
          <w:lang w:val="en-GB"/>
        </w:rPr>
        <w:t>Gjatë vitit akademik 2015 - 2016,  janë botuar 4 numra të revistës “Jeta Juridike”, Nr. 2 (Qershor 2015), Nr. 3 (Shtator 2015), Nr.4 (Dhjetor 2015)  si dhe Nr. 1 (Mars 2016), botimi i këtyre numrave për këtë viti akademik është financuar nga buxheti i shtetit.</w:t>
      </w:r>
    </w:p>
    <w:p w:rsidR="00D754B9" w:rsidRPr="00F02DA5" w:rsidRDefault="00D754B9" w:rsidP="00D754B9">
      <w:pPr>
        <w:spacing w:before="100" w:beforeAutospacing="1" w:after="100" w:afterAutospacing="1" w:line="240" w:lineRule="auto"/>
        <w:jc w:val="both"/>
        <w:rPr>
          <w:rFonts w:ascii="Bookman Old Style" w:eastAsia="Times New Roman" w:hAnsi="Bookman Old Style" w:cs="Times New Roman"/>
          <w:lang w:eastAsia="en-GB"/>
        </w:rPr>
      </w:pPr>
      <w:r w:rsidRPr="00F02DA5">
        <w:rPr>
          <w:rFonts w:ascii="Bookman Old Style" w:eastAsia="Times New Roman" w:hAnsi="Bookman Old Style" w:cs="Times New Roman"/>
          <w:b/>
        </w:rPr>
        <w:t>Bordi i Redaktorëve të Botimeve.</w:t>
      </w:r>
      <w:r w:rsidRPr="00F02DA5">
        <w:rPr>
          <w:rFonts w:ascii="Bookman Old Style" w:eastAsia="Times New Roman" w:hAnsi="Bookman Old Style" w:cs="Times New Roman"/>
        </w:rPr>
        <w:t xml:space="preserve"> Botimet e Revistës “Jeta Juridike” dhe të teksteve realizohen me vendim të Bordit të Redaktorëve. Ky është një organ vendimmarrës që përbëhet nga 9 (nëntë) anëtarë</w:t>
      </w:r>
      <w:r w:rsidRPr="00F02DA5">
        <w:rPr>
          <w:rFonts w:ascii="Bookman Old Style" w:eastAsia="Times New Roman" w:hAnsi="Bookman Old Style" w:cs="Times New Roman"/>
          <w:color w:val="000000"/>
          <w:lang w:eastAsia="en-GB"/>
        </w:rPr>
        <w:t xml:space="preserve">, të cilët propozohen nga drejtori i Shkollës së Magjistraturës dhe miratohen nga Këshilli Drejtues i saj. Kriteret e përzgjedhjes së tyre janë përcaktuar në VKM nr. 241, datë 06.04.2011 “Për </w:t>
      </w:r>
      <w:r w:rsidRPr="00F02DA5">
        <w:rPr>
          <w:rFonts w:ascii="Bookman Old Style" w:eastAsia="Times New Roman" w:hAnsi="Bookman Old Style" w:cs="Times New Roman"/>
          <w:lang w:eastAsia="en-GB"/>
        </w:rPr>
        <w:t xml:space="preserve"> veprimtarinë akademike, në zbatimin e programit të formimit fillestar dhe vazhdues, në Shkollën e Magjistraturës” </w:t>
      </w:r>
    </w:p>
    <w:p w:rsidR="00D754B9" w:rsidRPr="00F02DA5" w:rsidRDefault="00D754B9" w:rsidP="00D754B9">
      <w:pPr>
        <w:jc w:val="both"/>
        <w:rPr>
          <w:rFonts w:ascii="Bookman Old Style" w:hAnsi="Bookman Old Style"/>
          <w:b/>
          <w:lang w:val="fr-FR"/>
        </w:rPr>
      </w:pPr>
      <w:r w:rsidRPr="00F02DA5">
        <w:rPr>
          <w:rFonts w:ascii="Bookman Old Style" w:hAnsi="Bookman Old Style" w:cs="Times New Roman"/>
          <w:b/>
          <w:lang w:val="en-GB"/>
        </w:rPr>
        <w:t>Bordi i Redaktorëve</w:t>
      </w:r>
      <w:r w:rsidRPr="00F02DA5">
        <w:rPr>
          <w:rFonts w:ascii="Bookman Old Style" w:hAnsi="Bookman Old Style" w:cs="Times New Roman"/>
          <w:lang w:val="en-GB"/>
        </w:rPr>
        <w:t xml:space="preserve"> të “Jetës Juridike”, në përbërjen e vet ka 9 (nëntë) anëtarë si më poshtë, që është miratuar nga Këshilli Drejtues me vendimin nr. 17, datë 17.12.2014 </w:t>
      </w:r>
      <w:r w:rsidRPr="00F02DA5">
        <w:rPr>
          <w:rFonts w:ascii="Bookman Old Style" w:hAnsi="Bookman Old Style" w:cs="Times New Roman"/>
          <w:b/>
          <w:lang w:val="fr-FR"/>
        </w:rPr>
        <w:t xml:space="preserve">« Për caktimin e  anëtarëve të  Bordit të Redaktorëve të Revistës «  Jeta Juridike » </w:t>
      </w:r>
    </w:p>
    <w:p w:rsidR="00D754B9" w:rsidRPr="00F02DA5" w:rsidRDefault="00D754B9" w:rsidP="00D754B9">
      <w:pPr>
        <w:autoSpaceDE w:val="0"/>
        <w:autoSpaceDN w:val="0"/>
        <w:adjustRightInd w:val="0"/>
        <w:spacing w:after="0" w:line="240" w:lineRule="auto"/>
        <w:jc w:val="both"/>
        <w:rPr>
          <w:rFonts w:ascii="Bookman Old Style" w:hAnsi="Bookman Old Style" w:cs="Times New Roman"/>
          <w:lang w:val="en-GB"/>
        </w:rPr>
      </w:pPr>
      <w:r w:rsidRPr="00F02DA5">
        <w:rPr>
          <w:rFonts w:ascii="Bookman Old Style" w:hAnsi="Bookman Old Style" w:cs="Times New Roman"/>
          <w:lang w:val="en-GB"/>
        </w:rPr>
        <w:t xml:space="preserve">Akademik  Luan OMARI  Kryeredaktor </w:t>
      </w:r>
    </w:p>
    <w:p w:rsidR="00D754B9" w:rsidRPr="00F02DA5" w:rsidRDefault="00D754B9" w:rsidP="00D754B9">
      <w:pPr>
        <w:autoSpaceDE w:val="0"/>
        <w:autoSpaceDN w:val="0"/>
        <w:adjustRightInd w:val="0"/>
        <w:spacing w:after="0" w:line="240" w:lineRule="auto"/>
        <w:rPr>
          <w:rFonts w:ascii="Bookman Old Style" w:hAnsi="Bookman Old Style" w:cs="Times New Roman"/>
        </w:rPr>
      </w:pPr>
      <w:r w:rsidRPr="00F02DA5">
        <w:rPr>
          <w:rFonts w:ascii="Bookman Old Style" w:hAnsi="Bookman Old Style" w:cs="Times New Roman"/>
        </w:rPr>
        <w:t xml:space="preserve">Prof. dr. Xhezair ZAGANJORI </w:t>
      </w:r>
    </w:p>
    <w:p w:rsidR="00D754B9" w:rsidRPr="00F02DA5" w:rsidRDefault="00D754B9" w:rsidP="00D754B9">
      <w:pPr>
        <w:autoSpaceDE w:val="0"/>
        <w:autoSpaceDN w:val="0"/>
        <w:adjustRightInd w:val="0"/>
        <w:spacing w:after="0" w:line="240" w:lineRule="auto"/>
        <w:rPr>
          <w:rFonts w:ascii="Bookman Old Style" w:hAnsi="Bookman Old Style" w:cs="Times New Roman"/>
        </w:rPr>
      </w:pPr>
      <w:r w:rsidRPr="00F02DA5">
        <w:rPr>
          <w:rFonts w:ascii="Bookman Old Style" w:hAnsi="Bookman Old Style" w:cs="Times New Roman"/>
        </w:rPr>
        <w:t>Prof. Asoc. dr. Sokol SADUSHI</w:t>
      </w:r>
    </w:p>
    <w:p w:rsidR="00D754B9" w:rsidRPr="00F02DA5" w:rsidRDefault="00D754B9" w:rsidP="00D754B9">
      <w:pPr>
        <w:autoSpaceDE w:val="0"/>
        <w:autoSpaceDN w:val="0"/>
        <w:adjustRightInd w:val="0"/>
        <w:spacing w:after="0" w:line="240" w:lineRule="auto"/>
        <w:rPr>
          <w:rFonts w:ascii="Bookman Old Style" w:hAnsi="Bookman Old Style" w:cs="Times New Roman"/>
          <w:lang w:val="fr-LU"/>
        </w:rPr>
      </w:pPr>
      <w:r w:rsidRPr="00F02DA5">
        <w:rPr>
          <w:rFonts w:ascii="Bookman Old Style" w:hAnsi="Bookman Old Style" w:cs="Times New Roman"/>
          <w:lang w:val="fr-LU"/>
        </w:rPr>
        <w:t>Prof. dr. Aurela ANASTASI</w:t>
      </w:r>
    </w:p>
    <w:p w:rsidR="00D754B9" w:rsidRPr="00F02DA5" w:rsidRDefault="00D754B9" w:rsidP="00D754B9">
      <w:pPr>
        <w:autoSpaceDE w:val="0"/>
        <w:autoSpaceDN w:val="0"/>
        <w:adjustRightInd w:val="0"/>
        <w:spacing w:after="0" w:line="240" w:lineRule="auto"/>
        <w:rPr>
          <w:rFonts w:ascii="Bookman Old Style" w:hAnsi="Bookman Old Style" w:cs="Times New Roman"/>
          <w:lang w:val="fr-LU"/>
        </w:rPr>
      </w:pPr>
      <w:r w:rsidRPr="00F02DA5">
        <w:rPr>
          <w:rFonts w:ascii="Bookman Old Style" w:hAnsi="Bookman Old Style" w:cs="Times New Roman"/>
          <w:lang w:val="fr-LU"/>
        </w:rPr>
        <w:t>Prof. dr. Mariana SEMINI</w:t>
      </w:r>
    </w:p>
    <w:p w:rsidR="00D754B9" w:rsidRPr="00F02DA5" w:rsidRDefault="00D754B9" w:rsidP="00D754B9">
      <w:pPr>
        <w:autoSpaceDE w:val="0"/>
        <w:autoSpaceDN w:val="0"/>
        <w:adjustRightInd w:val="0"/>
        <w:spacing w:after="0" w:line="240" w:lineRule="auto"/>
        <w:rPr>
          <w:rFonts w:ascii="Bookman Old Style" w:hAnsi="Bookman Old Style" w:cs="Times New Roman"/>
          <w:lang w:val="fr-LU"/>
        </w:rPr>
      </w:pPr>
      <w:r w:rsidRPr="00F02DA5">
        <w:rPr>
          <w:rFonts w:ascii="Bookman Old Style" w:hAnsi="Bookman Old Style" w:cs="Times New Roman"/>
          <w:lang w:val="fr-LU"/>
        </w:rPr>
        <w:t>Prof. dr. Arta MANDRO</w:t>
      </w:r>
    </w:p>
    <w:p w:rsidR="00D754B9" w:rsidRPr="00F02DA5" w:rsidRDefault="00D754B9" w:rsidP="00D754B9">
      <w:pPr>
        <w:autoSpaceDE w:val="0"/>
        <w:autoSpaceDN w:val="0"/>
        <w:adjustRightInd w:val="0"/>
        <w:spacing w:after="0" w:line="240" w:lineRule="auto"/>
        <w:rPr>
          <w:rFonts w:ascii="Bookman Old Style" w:hAnsi="Bookman Old Style" w:cs="Times New Roman"/>
          <w:lang w:val="de-LU"/>
        </w:rPr>
      </w:pPr>
      <w:r w:rsidRPr="00F02DA5">
        <w:rPr>
          <w:rFonts w:ascii="Bookman Old Style" w:hAnsi="Bookman Old Style" w:cs="Times New Roman"/>
        </w:rPr>
        <w:t xml:space="preserve">Prof. dr. </w:t>
      </w:r>
      <w:r w:rsidRPr="00F02DA5">
        <w:rPr>
          <w:rFonts w:ascii="Bookman Old Style" w:hAnsi="Bookman Old Style" w:cs="Times New Roman"/>
          <w:lang w:val="de-LU"/>
        </w:rPr>
        <w:t>Argita MALLTEZI</w:t>
      </w:r>
    </w:p>
    <w:p w:rsidR="00D754B9" w:rsidRPr="00F02DA5" w:rsidRDefault="00D754B9" w:rsidP="00D754B9">
      <w:pPr>
        <w:autoSpaceDE w:val="0"/>
        <w:autoSpaceDN w:val="0"/>
        <w:adjustRightInd w:val="0"/>
        <w:spacing w:after="0" w:line="240" w:lineRule="auto"/>
        <w:rPr>
          <w:rFonts w:ascii="Bookman Old Style" w:hAnsi="Bookman Old Style" w:cs="Times New Roman"/>
        </w:rPr>
      </w:pPr>
      <w:r w:rsidRPr="00F02DA5">
        <w:rPr>
          <w:rFonts w:ascii="Bookman Old Style" w:hAnsi="Bookman Old Style" w:cs="Times New Roman"/>
        </w:rPr>
        <w:t>Prof. dr. Skënder KAÇUPI</w:t>
      </w:r>
    </w:p>
    <w:p w:rsidR="00D754B9" w:rsidRPr="00F02DA5" w:rsidRDefault="00D754B9" w:rsidP="00D754B9">
      <w:pPr>
        <w:autoSpaceDE w:val="0"/>
        <w:autoSpaceDN w:val="0"/>
        <w:adjustRightInd w:val="0"/>
        <w:spacing w:after="0"/>
        <w:rPr>
          <w:rFonts w:ascii="Bookman Old Style" w:hAnsi="Bookman Old Style" w:cs="Times New Roman"/>
        </w:rPr>
      </w:pPr>
      <w:r w:rsidRPr="00F02DA5">
        <w:rPr>
          <w:rFonts w:ascii="Bookman Old Style" w:hAnsi="Bookman Old Style" w:cs="Times New Roman"/>
        </w:rPr>
        <w:t>Dashamir KORE</w:t>
      </w:r>
    </w:p>
    <w:p w:rsidR="00D754B9" w:rsidRPr="00F02DA5" w:rsidRDefault="00D754B9" w:rsidP="00D754B9">
      <w:pPr>
        <w:autoSpaceDE w:val="0"/>
        <w:autoSpaceDN w:val="0"/>
        <w:adjustRightInd w:val="0"/>
        <w:rPr>
          <w:rFonts w:ascii="Bookman Old Style" w:hAnsi="Bookman Old Style" w:cs="Times New Roman"/>
        </w:rPr>
      </w:pPr>
    </w:p>
    <w:p w:rsidR="00D754B9" w:rsidRPr="00F02DA5" w:rsidRDefault="00D754B9" w:rsidP="00D754B9">
      <w:pPr>
        <w:autoSpaceDE w:val="0"/>
        <w:autoSpaceDN w:val="0"/>
        <w:adjustRightInd w:val="0"/>
        <w:jc w:val="both"/>
        <w:rPr>
          <w:rFonts w:ascii="Bookman Old Style" w:hAnsi="Bookman Old Style" w:cs="Times New Roman"/>
          <w:b/>
          <w:lang w:val="en-GB"/>
        </w:rPr>
      </w:pPr>
      <w:r w:rsidRPr="00F02DA5">
        <w:rPr>
          <w:rFonts w:ascii="Bookman Old Style" w:hAnsi="Bookman Old Style" w:cs="Times New Roman"/>
          <w:b/>
          <w:lang w:val="en-GB"/>
        </w:rPr>
        <w:t>Gjatë vitit akademik 2015-2016 janë publikuar 4 numra të Revistës Jeta Juridike si më poshtë:</w:t>
      </w:r>
    </w:p>
    <w:p w:rsidR="00D754B9" w:rsidRPr="00F02DA5" w:rsidRDefault="00D754B9" w:rsidP="00D754B9">
      <w:pPr>
        <w:tabs>
          <w:tab w:val="left" w:pos="6000"/>
        </w:tabs>
        <w:autoSpaceDE w:val="0"/>
        <w:autoSpaceDN w:val="0"/>
        <w:adjustRightInd w:val="0"/>
        <w:jc w:val="both"/>
        <w:rPr>
          <w:rFonts w:ascii="Bookman Old Style" w:hAnsi="Bookman Old Style" w:cs="Times New Roman"/>
          <w:b/>
          <w:color w:val="000066"/>
          <w:lang w:val="en-GB"/>
        </w:rPr>
      </w:pPr>
    </w:p>
    <w:p w:rsidR="00D754B9" w:rsidRPr="00F02DA5" w:rsidRDefault="00D754B9" w:rsidP="00D754B9">
      <w:pPr>
        <w:autoSpaceDE w:val="0"/>
        <w:autoSpaceDN w:val="0"/>
        <w:adjustRightInd w:val="0"/>
        <w:jc w:val="both"/>
        <w:rPr>
          <w:rFonts w:ascii="Bookman Old Style" w:hAnsi="Bookman Old Style" w:cs="Times New Roman"/>
          <w:b/>
          <w:color w:val="000066"/>
          <w:lang w:val="en-GB"/>
        </w:rPr>
      </w:pPr>
      <w:r>
        <w:rPr>
          <w:rFonts w:ascii="Bookman Old Style" w:hAnsi="Bookman Old Style" w:cs="Times New Roman"/>
          <w:b/>
          <w:noProof/>
          <w:color w:val="000066"/>
          <w:lang w:val="en-GB" w:eastAsia="en-GB"/>
        </w:rPr>
        <w:lastRenderedPageBreak/>
        <w:drawing>
          <wp:inline distT="0" distB="0" distL="0" distR="0">
            <wp:extent cx="1400175" cy="2028825"/>
            <wp:effectExtent l="19050" t="0" r="952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400175" cy="2028825"/>
                    </a:xfrm>
                    <a:prstGeom prst="rect">
                      <a:avLst/>
                    </a:prstGeom>
                    <a:noFill/>
                    <a:ln w="9525">
                      <a:noFill/>
                      <a:miter lim="800000"/>
                      <a:headEnd/>
                      <a:tailEnd/>
                    </a:ln>
                  </pic:spPr>
                </pic:pic>
              </a:graphicData>
            </a:graphic>
          </wp:inline>
        </w:drawing>
      </w:r>
      <w:r>
        <w:rPr>
          <w:rFonts w:ascii="Bookman Old Style" w:hAnsi="Bookman Old Style" w:cs="Times New Roman"/>
          <w:noProof/>
          <w:color w:val="000066"/>
          <w:lang w:val="en-GB" w:eastAsia="en-GB"/>
        </w:rPr>
        <w:drawing>
          <wp:inline distT="0" distB="0" distL="0" distR="0">
            <wp:extent cx="1514475" cy="2124075"/>
            <wp:effectExtent l="19050" t="0" r="9525"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514475" cy="2124075"/>
                    </a:xfrm>
                    <a:prstGeom prst="rect">
                      <a:avLst/>
                    </a:prstGeom>
                    <a:noFill/>
                    <a:ln w="9525">
                      <a:noFill/>
                      <a:miter lim="800000"/>
                      <a:headEnd/>
                      <a:tailEnd/>
                    </a:ln>
                  </pic:spPr>
                </pic:pic>
              </a:graphicData>
            </a:graphic>
          </wp:inline>
        </w:drawing>
      </w:r>
      <w:r>
        <w:rPr>
          <w:rFonts w:ascii="Bookman Old Style" w:hAnsi="Bookman Old Style" w:cs="Times New Roman"/>
          <w:b/>
          <w:noProof/>
          <w:lang w:val="en-GB" w:eastAsia="en-GB"/>
        </w:rPr>
        <w:drawing>
          <wp:inline distT="0" distB="0" distL="0" distR="0">
            <wp:extent cx="1619250" cy="2276475"/>
            <wp:effectExtent l="1905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619250" cy="2276475"/>
                    </a:xfrm>
                    <a:prstGeom prst="rect">
                      <a:avLst/>
                    </a:prstGeom>
                    <a:noFill/>
                    <a:ln w="9525">
                      <a:noFill/>
                      <a:miter lim="800000"/>
                      <a:headEnd/>
                      <a:tailEnd/>
                    </a:ln>
                  </pic:spPr>
                </pic:pic>
              </a:graphicData>
            </a:graphic>
          </wp:inline>
        </w:drawing>
      </w:r>
      <w:r>
        <w:rPr>
          <w:rFonts w:ascii="Bookman Old Style" w:hAnsi="Bookman Old Style" w:cs="Times New Roman"/>
          <w:b/>
          <w:noProof/>
          <w:lang w:val="en-GB" w:eastAsia="en-GB"/>
        </w:rPr>
        <w:drawing>
          <wp:inline distT="0" distB="0" distL="0" distR="0">
            <wp:extent cx="1666875" cy="2286000"/>
            <wp:effectExtent l="19050" t="0" r="9525"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1666875" cy="2286000"/>
                    </a:xfrm>
                    <a:prstGeom prst="rect">
                      <a:avLst/>
                    </a:prstGeom>
                    <a:noFill/>
                    <a:ln w="9525">
                      <a:noFill/>
                      <a:miter lim="800000"/>
                      <a:headEnd/>
                      <a:tailEnd/>
                    </a:ln>
                  </pic:spPr>
                </pic:pic>
              </a:graphicData>
            </a:graphic>
          </wp:inline>
        </w:drawing>
      </w:r>
    </w:p>
    <w:p w:rsidR="00D754B9" w:rsidRPr="005D459F" w:rsidRDefault="00D754B9" w:rsidP="00D754B9">
      <w:pPr>
        <w:autoSpaceDE w:val="0"/>
        <w:autoSpaceDN w:val="0"/>
        <w:adjustRightInd w:val="0"/>
        <w:jc w:val="both"/>
        <w:rPr>
          <w:rFonts w:ascii="Bookman Old Style" w:hAnsi="Bookman Old Style" w:cs="Times New Roman"/>
          <w:b/>
          <w:i/>
          <w:color w:val="7D4D98" w:themeColor="accent6" w:themeShade="BF"/>
          <w:sz w:val="20"/>
          <w:lang w:val="en-GB"/>
        </w:rPr>
      </w:pPr>
      <w:r w:rsidRPr="005D459F">
        <w:rPr>
          <w:rFonts w:ascii="Bookman Old Style" w:hAnsi="Bookman Old Style" w:cs="Times New Roman"/>
          <w:b/>
          <w:i/>
          <w:color w:val="7D4D98" w:themeColor="accent6" w:themeShade="BF"/>
          <w:sz w:val="20"/>
          <w:lang w:val="en-GB"/>
        </w:rPr>
        <w:t>Nr. 2 (Qershor 2015</w:t>
      </w:r>
      <w:r w:rsidR="005D459F">
        <w:rPr>
          <w:rFonts w:ascii="Bookman Old Style" w:hAnsi="Bookman Old Style" w:cs="Times New Roman"/>
          <w:b/>
          <w:i/>
          <w:color w:val="7D4D98" w:themeColor="accent6" w:themeShade="BF"/>
          <w:sz w:val="20"/>
          <w:lang w:val="en-GB"/>
        </w:rPr>
        <w:t>)</w:t>
      </w:r>
      <w:r w:rsidR="008633F3">
        <w:rPr>
          <w:rFonts w:ascii="Bookman Old Style" w:hAnsi="Bookman Old Style" w:cs="Times New Roman"/>
          <w:b/>
          <w:i/>
          <w:color w:val="7D4D98" w:themeColor="accent6" w:themeShade="BF"/>
          <w:sz w:val="20"/>
          <w:lang w:val="en-GB"/>
        </w:rPr>
        <w:t xml:space="preserve">    </w:t>
      </w:r>
      <w:r w:rsidRPr="005D459F">
        <w:rPr>
          <w:rFonts w:ascii="Bookman Old Style" w:hAnsi="Bookman Old Style" w:cs="Times New Roman"/>
          <w:b/>
          <w:i/>
          <w:color w:val="7D4D98" w:themeColor="accent6" w:themeShade="BF"/>
          <w:sz w:val="20"/>
          <w:lang w:val="en-GB"/>
        </w:rPr>
        <w:t xml:space="preserve">Nr. 3 (Shtator 2015)  </w:t>
      </w:r>
      <w:r w:rsidR="008633F3">
        <w:rPr>
          <w:rFonts w:ascii="Bookman Old Style" w:hAnsi="Bookman Old Style" w:cs="Times New Roman"/>
          <w:b/>
          <w:i/>
          <w:color w:val="7D4D98" w:themeColor="accent6" w:themeShade="BF"/>
          <w:sz w:val="20"/>
          <w:lang w:val="en-GB"/>
        </w:rPr>
        <w:t xml:space="preserve">   </w:t>
      </w:r>
      <w:r w:rsidRPr="005D459F">
        <w:rPr>
          <w:rFonts w:ascii="Bookman Old Style" w:hAnsi="Bookman Old Style" w:cs="Times New Roman"/>
          <w:b/>
          <w:i/>
          <w:color w:val="7D4D98" w:themeColor="accent6" w:themeShade="BF"/>
          <w:sz w:val="20"/>
          <w:lang w:val="en-GB"/>
        </w:rPr>
        <w:t xml:space="preserve">Nr. 4 (Dhjetor 2015)     </w:t>
      </w:r>
      <w:r w:rsidR="008633F3">
        <w:rPr>
          <w:rFonts w:ascii="Bookman Old Style" w:hAnsi="Bookman Old Style" w:cs="Times New Roman"/>
          <w:b/>
          <w:i/>
          <w:color w:val="7D4D98" w:themeColor="accent6" w:themeShade="BF"/>
          <w:sz w:val="20"/>
          <w:lang w:val="en-GB"/>
        </w:rPr>
        <w:t xml:space="preserve">    </w:t>
      </w:r>
      <w:r w:rsidR="005D459F" w:rsidRPr="005D459F">
        <w:rPr>
          <w:rFonts w:ascii="Bookman Old Style" w:hAnsi="Bookman Old Style" w:cs="Times New Roman"/>
          <w:b/>
          <w:i/>
          <w:color w:val="7D4D98" w:themeColor="accent6" w:themeShade="BF"/>
          <w:sz w:val="20"/>
          <w:lang w:val="en-GB"/>
        </w:rPr>
        <w:t>Nr.1</w:t>
      </w:r>
      <w:r w:rsidRPr="005D459F">
        <w:rPr>
          <w:rFonts w:ascii="Bookman Old Style" w:hAnsi="Bookman Old Style" w:cs="Times New Roman"/>
          <w:b/>
          <w:i/>
          <w:color w:val="7D4D98" w:themeColor="accent6" w:themeShade="BF"/>
          <w:sz w:val="20"/>
          <w:lang w:val="en-GB"/>
        </w:rPr>
        <w:t xml:space="preserve"> ( Mars 2016)</w:t>
      </w:r>
    </w:p>
    <w:p w:rsidR="00D754B9" w:rsidRPr="00F02DA5" w:rsidRDefault="00D754B9" w:rsidP="00D754B9">
      <w:pPr>
        <w:autoSpaceDE w:val="0"/>
        <w:autoSpaceDN w:val="0"/>
        <w:adjustRightInd w:val="0"/>
        <w:jc w:val="both"/>
        <w:rPr>
          <w:rFonts w:ascii="Bookman Old Style" w:hAnsi="Bookman Old Style" w:cs="Times New Roman"/>
          <w:b/>
          <w:lang w:val="en-GB"/>
        </w:rPr>
      </w:pPr>
      <w:r w:rsidRPr="00F02DA5">
        <w:rPr>
          <w:rFonts w:ascii="Bookman Old Style" w:hAnsi="Bookman Old Style" w:cs="Times New Roman"/>
          <w:b/>
          <w:lang w:val="en-GB"/>
        </w:rPr>
        <w:t>Struktura e revistës</w:t>
      </w:r>
    </w:p>
    <w:p w:rsidR="00D754B9" w:rsidRPr="00F02DA5" w:rsidRDefault="00D754B9" w:rsidP="00D754B9">
      <w:pPr>
        <w:autoSpaceDE w:val="0"/>
        <w:autoSpaceDN w:val="0"/>
        <w:adjustRightInd w:val="0"/>
        <w:jc w:val="both"/>
        <w:rPr>
          <w:rFonts w:ascii="Bookman Old Style" w:hAnsi="Bookman Old Style" w:cs="Times New Roman"/>
          <w:lang w:val="en-GB"/>
        </w:rPr>
      </w:pPr>
      <w:r w:rsidRPr="00F02DA5">
        <w:rPr>
          <w:rFonts w:ascii="Bookman Old Style" w:hAnsi="Bookman Old Style" w:cs="Times New Roman"/>
          <w:lang w:val="en-GB"/>
        </w:rPr>
        <w:t>Struktura e revistës “Jeta Juridike”, miratuar nga Bordi i Redaktorëve është si më poshtë:</w:t>
      </w:r>
    </w:p>
    <w:p w:rsidR="00D754B9" w:rsidRPr="00F02DA5" w:rsidRDefault="00D754B9" w:rsidP="003C4BF1">
      <w:pPr>
        <w:numPr>
          <w:ilvl w:val="0"/>
          <w:numId w:val="13"/>
        </w:numPr>
        <w:autoSpaceDE w:val="0"/>
        <w:autoSpaceDN w:val="0"/>
        <w:adjustRightInd w:val="0"/>
        <w:spacing w:after="0" w:line="240" w:lineRule="auto"/>
        <w:jc w:val="both"/>
        <w:rPr>
          <w:rFonts w:ascii="Bookman Old Style" w:hAnsi="Bookman Old Style" w:cs="Times New Roman"/>
          <w:lang w:val="en-GB"/>
        </w:rPr>
      </w:pPr>
      <w:r w:rsidRPr="00F02DA5">
        <w:rPr>
          <w:rFonts w:ascii="Bookman Old Style" w:hAnsi="Bookman Old Style" w:cs="Times New Roman"/>
          <w:lang w:val="en-GB"/>
        </w:rPr>
        <w:t>Rubrika 1 - Artikuj teorikë.</w:t>
      </w:r>
    </w:p>
    <w:p w:rsidR="00D754B9" w:rsidRPr="00F02DA5" w:rsidRDefault="00D754B9" w:rsidP="003C4BF1">
      <w:pPr>
        <w:numPr>
          <w:ilvl w:val="0"/>
          <w:numId w:val="13"/>
        </w:numPr>
        <w:autoSpaceDE w:val="0"/>
        <w:autoSpaceDN w:val="0"/>
        <w:adjustRightInd w:val="0"/>
        <w:spacing w:after="0" w:line="240" w:lineRule="auto"/>
        <w:jc w:val="both"/>
        <w:rPr>
          <w:rFonts w:ascii="Bookman Old Style" w:hAnsi="Bookman Old Style" w:cs="Times New Roman"/>
          <w:lang w:val="en-GB"/>
        </w:rPr>
      </w:pPr>
      <w:r w:rsidRPr="00F02DA5">
        <w:rPr>
          <w:rFonts w:ascii="Bookman Old Style" w:hAnsi="Bookman Old Style" w:cs="Times New Roman"/>
          <w:lang w:val="en-GB"/>
        </w:rPr>
        <w:t>Rubrika 2 – Opinione dhe debat juridik.</w:t>
      </w:r>
    </w:p>
    <w:p w:rsidR="00D754B9" w:rsidRPr="00F02DA5" w:rsidRDefault="00D754B9" w:rsidP="003C4BF1">
      <w:pPr>
        <w:numPr>
          <w:ilvl w:val="0"/>
          <w:numId w:val="13"/>
        </w:numPr>
        <w:autoSpaceDE w:val="0"/>
        <w:autoSpaceDN w:val="0"/>
        <w:adjustRightInd w:val="0"/>
        <w:spacing w:after="0" w:line="240" w:lineRule="auto"/>
        <w:jc w:val="both"/>
        <w:rPr>
          <w:rFonts w:ascii="Bookman Old Style" w:hAnsi="Bookman Old Style" w:cs="Times New Roman"/>
          <w:lang w:val="en-GB"/>
        </w:rPr>
      </w:pPr>
      <w:r w:rsidRPr="00F02DA5">
        <w:rPr>
          <w:rFonts w:ascii="Bookman Old Style" w:hAnsi="Bookman Old Style" w:cs="Times New Roman"/>
          <w:lang w:val="en-GB"/>
        </w:rPr>
        <w:t>Rubrika 3 – Njohje me legjislacionin e ri.</w:t>
      </w:r>
    </w:p>
    <w:p w:rsidR="00D754B9" w:rsidRPr="00F02DA5" w:rsidRDefault="00D754B9" w:rsidP="003C4BF1">
      <w:pPr>
        <w:numPr>
          <w:ilvl w:val="0"/>
          <w:numId w:val="13"/>
        </w:numPr>
        <w:autoSpaceDE w:val="0"/>
        <w:autoSpaceDN w:val="0"/>
        <w:adjustRightInd w:val="0"/>
        <w:spacing w:after="0" w:line="240" w:lineRule="auto"/>
        <w:jc w:val="both"/>
        <w:rPr>
          <w:rFonts w:ascii="Bookman Old Style" w:hAnsi="Bookman Old Style" w:cs="Times New Roman"/>
          <w:lang w:val="en-GB"/>
        </w:rPr>
      </w:pPr>
      <w:r w:rsidRPr="00F02DA5">
        <w:rPr>
          <w:rFonts w:ascii="Bookman Old Style" w:hAnsi="Bookman Old Style" w:cs="Times New Roman"/>
          <w:lang w:val="en-GB"/>
        </w:rPr>
        <w:t>Rubrika 4 – Njohje me praktikën gjyqësore.</w:t>
      </w:r>
    </w:p>
    <w:p w:rsidR="00D754B9" w:rsidRPr="00F02DA5" w:rsidRDefault="00D754B9" w:rsidP="003C4BF1">
      <w:pPr>
        <w:numPr>
          <w:ilvl w:val="0"/>
          <w:numId w:val="13"/>
        </w:numPr>
        <w:autoSpaceDE w:val="0"/>
        <w:autoSpaceDN w:val="0"/>
        <w:adjustRightInd w:val="0"/>
        <w:spacing w:after="0" w:line="240" w:lineRule="auto"/>
        <w:jc w:val="both"/>
        <w:rPr>
          <w:rFonts w:ascii="Bookman Old Style" w:hAnsi="Bookman Old Style" w:cs="Times New Roman"/>
          <w:lang w:val="en-GB"/>
        </w:rPr>
      </w:pPr>
      <w:r w:rsidRPr="00F02DA5">
        <w:rPr>
          <w:rFonts w:ascii="Bookman Old Style" w:hAnsi="Bookman Old Style" w:cs="Times New Roman"/>
          <w:lang w:val="en-GB"/>
        </w:rPr>
        <w:t>Rubrika 5 – Njohje me përvojën ndërkombëtare teorike dhe praktike.</w:t>
      </w:r>
    </w:p>
    <w:p w:rsidR="00D754B9" w:rsidRPr="00F02DA5" w:rsidRDefault="00D754B9" w:rsidP="003C4BF1">
      <w:pPr>
        <w:numPr>
          <w:ilvl w:val="0"/>
          <w:numId w:val="13"/>
        </w:numPr>
        <w:autoSpaceDE w:val="0"/>
        <w:autoSpaceDN w:val="0"/>
        <w:adjustRightInd w:val="0"/>
        <w:spacing w:after="0" w:line="240" w:lineRule="auto"/>
        <w:jc w:val="both"/>
        <w:rPr>
          <w:rFonts w:ascii="Bookman Old Style" w:hAnsi="Bookman Old Style" w:cs="Times New Roman"/>
          <w:lang w:val="en-GB"/>
        </w:rPr>
      </w:pPr>
      <w:r w:rsidRPr="00F02DA5">
        <w:rPr>
          <w:rFonts w:ascii="Bookman Old Style" w:hAnsi="Bookman Old Style" w:cs="Times New Roman"/>
          <w:lang w:val="en-GB"/>
        </w:rPr>
        <w:t>Rubrika 6 – Shkrime nga juristë të rinj.</w:t>
      </w:r>
    </w:p>
    <w:p w:rsidR="00D754B9" w:rsidRPr="00F02DA5" w:rsidRDefault="00D754B9" w:rsidP="003C4BF1">
      <w:pPr>
        <w:numPr>
          <w:ilvl w:val="0"/>
          <w:numId w:val="13"/>
        </w:numPr>
        <w:autoSpaceDE w:val="0"/>
        <w:autoSpaceDN w:val="0"/>
        <w:adjustRightInd w:val="0"/>
        <w:spacing w:after="0" w:line="240" w:lineRule="auto"/>
        <w:jc w:val="both"/>
        <w:rPr>
          <w:rFonts w:ascii="Bookman Old Style" w:hAnsi="Bookman Old Style" w:cs="Times New Roman"/>
          <w:lang w:val="en-GB"/>
        </w:rPr>
      </w:pPr>
      <w:r w:rsidRPr="00F02DA5">
        <w:rPr>
          <w:rFonts w:ascii="Bookman Old Style" w:hAnsi="Bookman Old Style" w:cs="Times New Roman"/>
          <w:lang w:val="en-GB"/>
        </w:rPr>
        <w:t xml:space="preserve">Rubrika 7 – Aktivitete të Shkollës së Magjistraturës </w:t>
      </w:r>
    </w:p>
    <w:p w:rsidR="00D754B9" w:rsidRPr="00F02DA5" w:rsidRDefault="00D754B9" w:rsidP="003C4BF1">
      <w:pPr>
        <w:numPr>
          <w:ilvl w:val="0"/>
          <w:numId w:val="13"/>
        </w:numPr>
        <w:autoSpaceDE w:val="0"/>
        <w:autoSpaceDN w:val="0"/>
        <w:adjustRightInd w:val="0"/>
        <w:spacing w:after="0" w:line="240" w:lineRule="auto"/>
        <w:jc w:val="both"/>
        <w:rPr>
          <w:rFonts w:ascii="Bookman Old Style" w:hAnsi="Bookman Old Style" w:cs="Times New Roman"/>
          <w:lang w:val="en-GB"/>
        </w:rPr>
      </w:pPr>
      <w:r w:rsidRPr="00F02DA5">
        <w:rPr>
          <w:rFonts w:ascii="Bookman Old Style" w:hAnsi="Bookman Old Style" w:cs="Times New Roman"/>
          <w:bCs/>
          <w:iCs/>
          <w:lang w:val="en-GB"/>
        </w:rPr>
        <w:t xml:space="preserve">Rubrika 8 – Artikuj të Spikatur  </w:t>
      </w:r>
      <w:r w:rsidRPr="00F02DA5">
        <w:rPr>
          <w:rFonts w:ascii="Bookman Old Style" w:hAnsi="Bookman Old Style" w:cs="Times New Roman"/>
          <w:lang w:val="en-GB"/>
        </w:rPr>
        <w:t xml:space="preserve">“Botime e artikuj të përkthyer nga periodikë të ndryshëm ndërkombëtarë”. </w:t>
      </w:r>
    </w:p>
    <w:p w:rsidR="00D754B9" w:rsidRPr="00F02DA5" w:rsidRDefault="00D754B9" w:rsidP="003C4BF1">
      <w:pPr>
        <w:numPr>
          <w:ilvl w:val="0"/>
          <w:numId w:val="13"/>
        </w:numPr>
        <w:autoSpaceDE w:val="0"/>
        <w:autoSpaceDN w:val="0"/>
        <w:adjustRightInd w:val="0"/>
        <w:spacing w:after="0" w:line="240" w:lineRule="auto"/>
        <w:jc w:val="both"/>
        <w:rPr>
          <w:rFonts w:ascii="Bookman Old Style" w:hAnsi="Bookman Old Style" w:cs="Times New Roman"/>
          <w:lang w:val="en-GB"/>
        </w:rPr>
      </w:pPr>
      <w:r w:rsidRPr="00F02DA5">
        <w:rPr>
          <w:rFonts w:ascii="Bookman Old Style" w:hAnsi="Bookman Old Style" w:cs="Times New Roman"/>
          <w:lang w:val="en-GB"/>
        </w:rPr>
        <w:t>Artikujt në Anglisht</w:t>
      </w:r>
    </w:p>
    <w:p w:rsidR="00D754B9" w:rsidRPr="00F02DA5" w:rsidRDefault="00D754B9" w:rsidP="00D754B9">
      <w:pPr>
        <w:rPr>
          <w:rFonts w:ascii="Bookman Old Style" w:hAnsi="Bookman Old Style" w:cs="Times New Roman"/>
          <w:lang w:val="en-GB"/>
        </w:rPr>
      </w:pPr>
    </w:p>
    <w:p w:rsidR="00D754B9" w:rsidRPr="00F02DA5" w:rsidRDefault="00D754B9" w:rsidP="00D754B9">
      <w:pPr>
        <w:autoSpaceDE w:val="0"/>
        <w:autoSpaceDN w:val="0"/>
        <w:adjustRightInd w:val="0"/>
        <w:jc w:val="both"/>
        <w:rPr>
          <w:rFonts w:ascii="Bookman Old Style" w:hAnsi="Bookman Old Style" w:cs="Times New Roman"/>
          <w:lang w:val="en-GB"/>
        </w:rPr>
      </w:pPr>
      <w:r w:rsidRPr="00F02DA5">
        <w:rPr>
          <w:rFonts w:ascii="Bookman Old Style" w:hAnsi="Bookman Old Style" w:cs="Times New Roman"/>
          <w:lang w:val="en-GB"/>
        </w:rPr>
        <w:t>Revista për vitet 2015/2016 përmban rreth 300 faqe shqip dhe anglisht  ( +/- 10 faqe), botohet në një tirazh prej 300 kopjesh dhe kopertina pasqyron emblemën (logon) e Shkollës së Magjistraturës. Si përfitues të botimit shkencor “Jeta Juridike” janë identifikuar gjyqtarët dhe prokurorët në të gjithë vendin, si dhe studentët e Shkollës së Magjistraturës. Gjithashtu në radhën e destinatarëve të këtij botimi hyjnë edhe studentët e drejtësisë, avokatët, noterët, juristët e institucioneve dhe organizatave etj.</w:t>
      </w:r>
    </w:p>
    <w:p w:rsidR="00D754B9" w:rsidRPr="00F02DA5" w:rsidRDefault="00D754B9" w:rsidP="00D754B9">
      <w:pPr>
        <w:autoSpaceDE w:val="0"/>
        <w:autoSpaceDN w:val="0"/>
        <w:adjustRightInd w:val="0"/>
        <w:jc w:val="both"/>
        <w:rPr>
          <w:rFonts w:ascii="Bookman Old Style" w:hAnsi="Bookman Old Style" w:cs="Times New Roman"/>
          <w:b/>
          <w:lang w:val="en-GB"/>
        </w:rPr>
      </w:pPr>
      <w:r w:rsidRPr="00F02DA5">
        <w:rPr>
          <w:rFonts w:ascii="Bookman Old Style" w:hAnsi="Bookman Old Style" w:cs="Times New Roman"/>
          <w:b/>
          <w:lang w:val="en-GB"/>
        </w:rPr>
        <w:t>Kriteret e aplikuara për artikujt</w:t>
      </w:r>
    </w:p>
    <w:p w:rsidR="00D754B9" w:rsidRPr="00F02DA5" w:rsidRDefault="00D754B9" w:rsidP="00D754B9">
      <w:pPr>
        <w:autoSpaceDE w:val="0"/>
        <w:autoSpaceDN w:val="0"/>
        <w:adjustRightInd w:val="0"/>
        <w:jc w:val="both"/>
        <w:rPr>
          <w:rFonts w:ascii="Bookman Old Style" w:hAnsi="Bookman Old Style" w:cs="Times New Roman"/>
          <w:lang w:val="en-GB"/>
        </w:rPr>
      </w:pPr>
      <w:r w:rsidRPr="00F02DA5">
        <w:rPr>
          <w:rFonts w:ascii="Bookman Old Style" w:hAnsi="Bookman Old Style" w:cs="Times New Roman"/>
          <w:lang w:val="en-GB"/>
        </w:rPr>
        <w:t>Bordi i Redaktorëve ka Miratuar Rregulloren e Revistës “Jeta Juridike” si dhe ka adoptuar standarde të larta përzgjedhjeje për artikujt që janë botuar në revistën “Jeta Juridike”. Kështu disa nga kriteret e aplikuara kanë qenë:</w:t>
      </w:r>
    </w:p>
    <w:p w:rsidR="00D754B9" w:rsidRPr="00F02DA5" w:rsidRDefault="00D754B9" w:rsidP="003C4BF1">
      <w:pPr>
        <w:numPr>
          <w:ilvl w:val="0"/>
          <w:numId w:val="12"/>
        </w:numPr>
        <w:autoSpaceDE w:val="0"/>
        <w:autoSpaceDN w:val="0"/>
        <w:adjustRightInd w:val="0"/>
        <w:spacing w:after="0" w:line="240" w:lineRule="auto"/>
        <w:ind w:hanging="436"/>
        <w:jc w:val="both"/>
        <w:rPr>
          <w:rFonts w:ascii="Bookman Old Style" w:hAnsi="Bookman Old Style" w:cs="Times New Roman"/>
          <w:lang w:val="en-GB"/>
        </w:rPr>
      </w:pPr>
      <w:r w:rsidRPr="00F02DA5">
        <w:rPr>
          <w:rFonts w:ascii="Bookman Old Style" w:hAnsi="Bookman Old Style" w:cs="Times New Roman"/>
          <w:lang w:val="en-GB"/>
        </w:rPr>
        <w:t xml:space="preserve">Përzgjedhja e shkrimeve nga personalitete të jetës juridike shqiptare. </w:t>
      </w:r>
    </w:p>
    <w:p w:rsidR="00D754B9" w:rsidRPr="00F02DA5" w:rsidRDefault="00D754B9" w:rsidP="003C4BF1">
      <w:pPr>
        <w:numPr>
          <w:ilvl w:val="0"/>
          <w:numId w:val="12"/>
        </w:numPr>
        <w:tabs>
          <w:tab w:val="num" w:pos="0"/>
        </w:tabs>
        <w:autoSpaceDE w:val="0"/>
        <w:autoSpaceDN w:val="0"/>
        <w:adjustRightInd w:val="0"/>
        <w:spacing w:after="0" w:line="240" w:lineRule="auto"/>
        <w:ind w:left="0" w:firstLine="284"/>
        <w:jc w:val="both"/>
        <w:rPr>
          <w:rFonts w:ascii="Bookman Old Style" w:hAnsi="Bookman Old Style" w:cs="Times New Roman"/>
          <w:lang w:val="en-GB"/>
        </w:rPr>
      </w:pPr>
      <w:r w:rsidRPr="00F02DA5">
        <w:rPr>
          <w:rFonts w:ascii="Bookman Old Style" w:hAnsi="Bookman Old Style" w:cs="Times New Roman"/>
          <w:lang w:val="en-GB"/>
        </w:rPr>
        <w:lastRenderedPageBreak/>
        <w:t>Heterogjeniteti i autorëve. Kështu revista ka pasqyruar shkrime nga juristë të moshave të ndryshme, të profileve të ndryshme, të rretheve të ndryshme dhe madje edhe te huaj</w:t>
      </w:r>
    </w:p>
    <w:p w:rsidR="00D754B9" w:rsidRPr="00F02DA5" w:rsidRDefault="00D754B9" w:rsidP="003C4BF1">
      <w:pPr>
        <w:numPr>
          <w:ilvl w:val="0"/>
          <w:numId w:val="12"/>
        </w:numPr>
        <w:tabs>
          <w:tab w:val="num" w:pos="0"/>
        </w:tabs>
        <w:autoSpaceDE w:val="0"/>
        <w:autoSpaceDN w:val="0"/>
        <w:adjustRightInd w:val="0"/>
        <w:spacing w:after="0" w:line="240" w:lineRule="auto"/>
        <w:ind w:left="0" w:firstLine="284"/>
        <w:jc w:val="both"/>
        <w:rPr>
          <w:rFonts w:ascii="Bookman Old Style" w:hAnsi="Bookman Old Style" w:cs="Times New Roman"/>
          <w:lang w:val="en-GB"/>
        </w:rPr>
      </w:pPr>
      <w:r w:rsidRPr="00F02DA5">
        <w:rPr>
          <w:rFonts w:ascii="Bookman Old Style" w:hAnsi="Bookman Old Style" w:cs="Times New Roman"/>
          <w:lang w:val="en-GB"/>
        </w:rPr>
        <w:t>Larmia e temave që prekin aspekte të ndryshme të teorisë dhe praktikës së të drejtës.</w:t>
      </w:r>
    </w:p>
    <w:p w:rsidR="00D754B9" w:rsidRPr="00F02DA5" w:rsidRDefault="00D754B9" w:rsidP="003C4BF1">
      <w:pPr>
        <w:numPr>
          <w:ilvl w:val="0"/>
          <w:numId w:val="12"/>
        </w:numPr>
        <w:tabs>
          <w:tab w:val="num" w:pos="0"/>
        </w:tabs>
        <w:autoSpaceDE w:val="0"/>
        <w:autoSpaceDN w:val="0"/>
        <w:adjustRightInd w:val="0"/>
        <w:spacing w:after="0" w:line="240" w:lineRule="auto"/>
        <w:ind w:left="0" w:firstLine="284"/>
        <w:jc w:val="both"/>
        <w:rPr>
          <w:rFonts w:ascii="Bookman Old Style" w:hAnsi="Bookman Old Style" w:cs="Times New Roman"/>
          <w:lang w:val="en-GB"/>
        </w:rPr>
      </w:pPr>
      <w:r w:rsidRPr="00F02DA5">
        <w:rPr>
          <w:rFonts w:ascii="Bookman Old Style" w:hAnsi="Bookman Old Style" w:cs="Times New Roman"/>
          <w:lang w:val="en-GB"/>
        </w:rPr>
        <w:t xml:space="preserve">Duke qenë së lexuesi kryesor është menduar se do të jetë gjyqtari apo prokurori, artikujt dhe struktura janë konceptuar në mënyrë të tillë që t’u shërbejnë këtyre juristëve, përveçse juristëve të rinj. Kështu edhe kur artikujt kanë trajtuar çështje të së drejtës ndërkombëtare apo asaj të huaj, gjithmonë ato janë parë edhe nga këndvështrimi i realitetit shqiptar. </w:t>
      </w:r>
    </w:p>
    <w:p w:rsidR="00D754B9" w:rsidRPr="00F02DA5" w:rsidRDefault="00D754B9" w:rsidP="003C4BF1">
      <w:pPr>
        <w:numPr>
          <w:ilvl w:val="0"/>
          <w:numId w:val="12"/>
        </w:numPr>
        <w:tabs>
          <w:tab w:val="num" w:pos="0"/>
        </w:tabs>
        <w:autoSpaceDE w:val="0"/>
        <w:autoSpaceDN w:val="0"/>
        <w:adjustRightInd w:val="0"/>
        <w:spacing w:after="0" w:line="240" w:lineRule="auto"/>
        <w:ind w:left="0" w:firstLine="284"/>
        <w:jc w:val="both"/>
        <w:rPr>
          <w:rFonts w:ascii="Bookman Old Style" w:hAnsi="Bookman Old Style" w:cs="Times New Roman"/>
          <w:lang w:val="en-GB"/>
        </w:rPr>
      </w:pPr>
      <w:r w:rsidRPr="00F02DA5">
        <w:rPr>
          <w:rFonts w:ascii="Bookman Old Style" w:hAnsi="Bookman Old Style" w:cs="Times New Roman"/>
          <w:lang w:val="en-GB"/>
        </w:rPr>
        <w:t xml:space="preserve">Nga ana tjetër zgjidhen artikuj që të jenë të pasur me shembuj nga praktika. </w:t>
      </w:r>
    </w:p>
    <w:p w:rsidR="00D754B9" w:rsidRPr="00F02DA5" w:rsidRDefault="00D754B9" w:rsidP="003C4BF1">
      <w:pPr>
        <w:numPr>
          <w:ilvl w:val="0"/>
          <w:numId w:val="12"/>
        </w:numPr>
        <w:tabs>
          <w:tab w:val="num" w:pos="0"/>
        </w:tabs>
        <w:autoSpaceDE w:val="0"/>
        <w:autoSpaceDN w:val="0"/>
        <w:adjustRightInd w:val="0"/>
        <w:spacing w:after="0" w:line="240" w:lineRule="auto"/>
        <w:ind w:left="0" w:firstLine="284"/>
        <w:jc w:val="both"/>
        <w:rPr>
          <w:rFonts w:ascii="Bookman Old Style" w:hAnsi="Bookman Old Style" w:cs="Times New Roman"/>
          <w:lang w:val="en-GB"/>
        </w:rPr>
      </w:pPr>
      <w:r w:rsidRPr="00F02DA5">
        <w:rPr>
          <w:rFonts w:ascii="Bookman Old Style" w:hAnsi="Bookman Old Style" w:cs="Times New Roman"/>
          <w:lang w:val="en-GB"/>
        </w:rPr>
        <w:t>Shkrimet janë seleksionuar mbi bazën e risive dhe origjinalitetit shkencor që ato përcjellin tek lexuesi dhe janë evituar shkrimet me ngjyrime politike apo emocionale.</w:t>
      </w:r>
    </w:p>
    <w:p w:rsidR="00D754B9" w:rsidRPr="00F02DA5" w:rsidRDefault="00D754B9" w:rsidP="003C4BF1">
      <w:pPr>
        <w:numPr>
          <w:ilvl w:val="0"/>
          <w:numId w:val="12"/>
        </w:numPr>
        <w:tabs>
          <w:tab w:val="num" w:pos="0"/>
        </w:tabs>
        <w:autoSpaceDE w:val="0"/>
        <w:autoSpaceDN w:val="0"/>
        <w:adjustRightInd w:val="0"/>
        <w:spacing w:after="0" w:line="240" w:lineRule="auto"/>
        <w:ind w:left="0" w:firstLine="284"/>
        <w:jc w:val="both"/>
        <w:rPr>
          <w:rFonts w:ascii="Bookman Old Style" w:hAnsi="Bookman Old Style" w:cs="Times New Roman"/>
          <w:lang w:val="en-GB"/>
        </w:rPr>
      </w:pPr>
      <w:r w:rsidRPr="00F02DA5">
        <w:rPr>
          <w:rFonts w:ascii="Bookman Old Style" w:hAnsi="Bookman Old Style" w:cs="Times New Roman"/>
          <w:lang w:val="en-GB"/>
        </w:rPr>
        <w:t>Artikujt janë përzgjedhur edhe mbi bazën e formatit shkencor të paraqitjes së tyre, strukturës, bibliografisë, citimeve, etj.</w:t>
      </w:r>
    </w:p>
    <w:p w:rsidR="00D754B9" w:rsidRPr="00F02DA5" w:rsidRDefault="00D754B9" w:rsidP="00D754B9">
      <w:pPr>
        <w:autoSpaceDE w:val="0"/>
        <w:autoSpaceDN w:val="0"/>
        <w:adjustRightInd w:val="0"/>
        <w:spacing w:after="0" w:line="240" w:lineRule="auto"/>
        <w:jc w:val="both"/>
        <w:rPr>
          <w:rFonts w:ascii="Bookman Old Style" w:hAnsi="Bookman Old Style" w:cs="Times New Roman"/>
          <w:b/>
          <w:lang w:val="en-GB"/>
        </w:rPr>
      </w:pPr>
    </w:p>
    <w:p w:rsidR="00D754B9" w:rsidRDefault="00D754B9" w:rsidP="00D754B9">
      <w:pPr>
        <w:autoSpaceDE w:val="0"/>
        <w:autoSpaceDN w:val="0"/>
        <w:adjustRightInd w:val="0"/>
        <w:spacing w:after="0" w:line="240" w:lineRule="auto"/>
        <w:jc w:val="both"/>
        <w:rPr>
          <w:rFonts w:ascii="Bookman Old Style" w:hAnsi="Bookman Old Style" w:cs="Times New Roman"/>
          <w:b/>
          <w:lang w:val="en-GB"/>
        </w:rPr>
      </w:pPr>
      <w:r w:rsidRPr="00F02DA5">
        <w:rPr>
          <w:rFonts w:ascii="Bookman Old Style" w:hAnsi="Bookman Old Style" w:cs="Times New Roman"/>
          <w:b/>
          <w:lang w:val="en-GB"/>
        </w:rPr>
        <w:t xml:space="preserve">Disa arritje dhe </w:t>
      </w:r>
      <w:r w:rsidR="005D459F">
        <w:rPr>
          <w:rFonts w:ascii="Bookman Old Style" w:hAnsi="Bookman Old Style" w:cs="Times New Roman"/>
          <w:b/>
          <w:lang w:val="en-GB"/>
        </w:rPr>
        <w:t>problem</w:t>
      </w:r>
      <w:r w:rsidR="008633F3">
        <w:rPr>
          <w:rFonts w:ascii="Bookman Old Style" w:hAnsi="Bookman Old Style" w:cs="Times New Roman"/>
          <w:b/>
          <w:lang w:val="en-GB"/>
        </w:rPr>
        <w:t>e</w:t>
      </w:r>
    </w:p>
    <w:p w:rsidR="005D459F" w:rsidRPr="00F02DA5" w:rsidRDefault="005D459F" w:rsidP="00D754B9">
      <w:pPr>
        <w:autoSpaceDE w:val="0"/>
        <w:autoSpaceDN w:val="0"/>
        <w:adjustRightInd w:val="0"/>
        <w:spacing w:after="0" w:line="240" w:lineRule="auto"/>
        <w:jc w:val="both"/>
        <w:rPr>
          <w:rFonts w:ascii="Bookman Old Style" w:hAnsi="Bookman Old Style" w:cs="Times New Roman"/>
          <w:b/>
          <w:lang w:val="en-GB"/>
        </w:rPr>
      </w:pPr>
    </w:p>
    <w:p w:rsidR="00D754B9" w:rsidRPr="00F02DA5" w:rsidRDefault="00D754B9" w:rsidP="00D754B9">
      <w:pPr>
        <w:autoSpaceDE w:val="0"/>
        <w:autoSpaceDN w:val="0"/>
        <w:adjustRightInd w:val="0"/>
        <w:spacing w:after="0" w:line="240" w:lineRule="auto"/>
        <w:jc w:val="both"/>
        <w:rPr>
          <w:rFonts w:ascii="Bookman Old Style" w:hAnsi="Bookman Old Style" w:cs="Times New Roman"/>
          <w:lang w:val="en-GB"/>
        </w:rPr>
      </w:pPr>
      <w:r w:rsidRPr="00F02DA5">
        <w:rPr>
          <w:rFonts w:ascii="Bookman Old Style" w:hAnsi="Bookman Old Style" w:cs="Times New Roman"/>
          <w:lang w:val="en-GB"/>
        </w:rPr>
        <w:t>Shkolla e Magjistraturës i konsideron shpenzimet lidhur me revistën, si të domosdoshme për vazhdimësinë e një aktiviteti, që në të gjitha aspektet, përben një arritje për institucionin si dhe një kontribut të rëndësishëm për doktrinën juridike të vendit tonë. Këtë vendim, strukturat drejtuese të Shkollës e morën duke u nisur nga komentet shumë pozitive për cilësinë dhe seriozitetin e revistës të marra nga takime të ndryshme me juristë nga i gjithë vendi. Veç kësaj, mjaft gjyqtarë, prokurorë e juristë të tjerë, madje pena të njohura të drejtësisë shqiptare, kontaktojnë vazhdimisht redaksinë me kërkesën për të botuar artikujt e tyre në të. Kjo natyrisht flet për sukses cilësor të revistës dhe për pritjen e mirë të saj nga lexuesi. Por, nga ana tjetër kjo e vendos redaksinë e revistës përpara një përgjegjësie të madhe që t’i përgjigjet edhe në kohe lexuesit që e pret me padurim daljen e revistës.</w:t>
      </w:r>
    </w:p>
    <w:p w:rsidR="00D754B9" w:rsidRPr="00F02DA5" w:rsidRDefault="00D754B9" w:rsidP="00D754B9">
      <w:pPr>
        <w:spacing w:after="0"/>
        <w:rPr>
          <w:rFonts w:ascii="Bookman Old Style" w:hAnsi="Bookman Old Style" w:cs="Times New Roman"/>
          <w:lang w:val="en-GB"/>
        </w:rPr>
      </w:pPr>
    </w:p>
    <w:p w:rsidR="00D754B9" w:rsidRPr="00F02DA5" w:rsidRDefault="00D754B9" w:rsidP="00D754B9">
      <w:pPr>
        <w:spacing w:after="0"/>
        <w:rPr>
          <w:rFonts w:ascii="Bookman Old Style" w:hAnsi="Bookman Old Style" w:cs="Times New Roman"/>
          <w:lang w:val="en-GB"/>
        </w:rPr>
      </w:pPr>
      <w:r w:rsidRPr="00F02DA5">
        <w:rPr>
          <w:rFonts w:ascii="Bookman Old Style" w:hAnsi="Bookman Old Style" w:cs="Times New Roman"/>
          <w:lang w:val="en-GB"/>
        </w:rPr>
        <w:t>Mbetet një sfidë e rëndësishme për institucionin vazhdimi i botimit të saj në vitet në vazhdim me fondet e buxhetit të shtetit, ku parashikohet edhe shitja e saj dhe përdorimi i të ardhurave për botimin e numrave të ardhshëm të revistës.</w:t>
      </w:r>
    </w:p>
    <w:p w:rsidR="00D754B9" w:rsidRPr="00F02DA5" w:rsidRDefault="00D754B9" w:rsidP="00D754B9">
      <w:pPr>
        <w:autoSpaceDE w:val="0"/>
        <w:autoSpaceDN w:val="0"/>
        <w:adjustRightInd w:val="0"/>
        <w:spacing w:line="240" w:lineRule="auto"/>
        <w:rPr>
          <w:rFonts w:ascii="Bookman Old Style" w:hAnsi="Bookman Old Style" w:cs="Times New Roman"/>
          <w:b/>
          <w:lang w:val="en-GB"/>
        </w:rPr>
      </w:pPr>
    </w:p>
    <w:p w:rsidR="00D754B9" w:rsidRPr="00F02DA5" w:rsidRDefault="00D754B9" w:rsidP="00D754B9">
      <w:pPr>
        <w:autoSpaceDE w:val="0"/>
        <w:autoSpaceDN w:val="0"/>
        <w:adjustRightInd w:val="0"/>
        <w:spacing w:after="0" w:line="240" w:lineRule="auto"/>
        <w:jc w:val="center"/>
        <w:rPr>
          <w:rFonts w:ascii="Bookman Old Style" w:hAnsi="Bookman Old Style" w:cs="Times New Roman"/>
          <w:b/>
          <w:lang w:val="en-GB"/>
        </w:rPr>
      </w:pPr>
      <w:r w:rsidRPr="00F02DA5">
        <w:rPr>
          <w:rFonts w:ascii="Bookman Old Style" w:hAnsi="Bookman Old Style" w:cs="Times New Roman"/>
          <w:b/>
          <w:lang w:val="en-GB"/>
        </w:rPr>
        <w:t>Shpenzime financiare për numrat  2,3, 4 të vitit 2015  dhe  numrit 1 të vitit 2016 janë financuar nga buxheti i shtetit, si më poshtë:</w:t>
      </w:r>
    </w:p>
    <w:p w:rsidR="00D754B9" w:rsidRPr="00F02DA5" w:rsidRDefault="00D754B9" w:rsidP="00D754B9">
      <w:pPr>
        <w:spacing w:after="0"/>
        <w:rPr>
          <w:rFonts w:ascii="Bookman Old Style" w:hAnsi="Bookman Old Style" w:cs="Times New Roman"/>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3080"/>
      </w:tblGrid>
      <w:tr w:rsidR="00D754B9" w:rsidRPr="00F02DA5" w:rsidTr="00D754B9">
        <w:trPr>
          <w:trHeight w:val="341"/>
        </w:trPr>
        <w:tc>
          <w:tcPr>
            <w:tcW w:w="4428" w:type="dxa"/>
          </w:tcPr>
          <w:p w:rsidR="00D754B9" w:rsidRPr="00F02DA5" w:rsidRDefault="00D754B9" w:rsidP="00D754B9">
            <w:pPr>
              <w:spacing w:after="0"/>
              <w:rPr>
                <w:rFonts w:ascii="Bookman Old Style" w:hAnsi="Bookman Old Style" w:cs="Times New Roman"/>
                <w:b/>
                <w:lang w:val="en-GB"/>
              </w:rPr>
            </w:pPr>
            <w:r w:rsidRPr="00F02DA5">
              <w:rPr>
                <w:rFonts w:ascii="Bookman Old Style" w:hAnsi="Bookman Old Style" w:cs="Times New Roman"/>
                <w:b/>
                <w:lang w:val="en-GB"/>
              </w:rPr>
              <w:t>Revista  Nr.2,3,4, viti 2015</w:t>
            </w:r>
          </w:p>
        </w:tc>
        <w:tc>
          <w:tcPr>
            <w:tcW w:w="3080" w:type="dxa"/>
          </w:tcPr>
          <w:p w:rsidR="00D754B9" w:rsidRPr="00F02DA5" w:rsidRDefault="00D754B9" w:rsidP="00D754B9">
            <w:pPr>
              <w:spacing w:after="0"/>
              <w:rPr>
                <w:rFonts w:ascii="Bookman Old Style" w:hAnsi="Bookman Old Style" w:cs="Times New Roman"/>
                <w:b/>
                <w:lang w:val="en-GB"/>
              </w:rPr>
            </w:pPr>
            <w:r w:rsidRPr="00F02DA5">
              <w:rPr>
                <w:rFonts w:ascii="Bookman Old Style" w:hAnsi="Bookman Old Style" w:cs="Times New Roman"/>
                <w:b/>
                <w:lang w:val="en-GB"/>
              </w:rPr>
              <w:t xml:space="preserve">Tarifa në Lek </w:t>
            </w:r>
          </w:p>
        </w:tc>
      </w:tr>
      <w:tr w:rsidR="00D754B9" w:rsidRPr="00F02DA5" w:rsidTr="00D754B9">
        <w:tc>
          <w:tcPr>
            <w:tcW w:w="4428" w:type="dxa"/>
          </w:tcPr>
          <w:p w:rsidR="00D754B9" w:rsidRPr="00F02DA5" w:rsidRDefault="00D754B9" w:rsidP="00D754B9">
            <w:pPr>
              <w:rPr>
                <w:rFonts w:ascii="Bookman Old Style" w:hAnsi="Bookman Old Style" w:cs="Times New Roman"/>
                <w:lang w:val="en-GB"/>
              </w:rPr>
            </w:pPr>
            <w:r w:rsidRPr="00F02DA5">
              <w:rPr>
                <w:rFonts w:ascii="Bookman Old Style" w:hAnsi="Bookman Old Style" w:cs="Times New Roman"/>
                <w:lang w:val="en-GB"/>
              </w:rPr>
              <w:t>Anëtarët e Redaksisë</w:t>
            </w:r>
          </w:p>
        </w:tc>
        <w:tc>
          <w:tcPr>
            <w:tcW w:w="3080" w:type="dxa"/>
          </w:tcPr>
          <w:p w:rsidR="00D754B9" w:rsidRPr="00F02DA5" w:rsidRDefault="00D754B9" w:rsidP="00D754B9">
            <w:pPr>
              <w:rPr>
                <w:rFonts w:ascii="Bookman Old Style" w:hAnsi="Bookman Old Style" w:cs="Times New Roman"/>
                <w:lang w:val="en-GB"/>
              </w:rPr>
            </w:pPr>
            <w:r w:rsidRPr="00F02DA5">
              <w:rPr>
                <w:rFonts w:ascii="Bookman Old Style" w:hAnsi="Bookman Old Style" w:cs="Times New Roman"/>
                <w:lang w:val="en-GB"/>
              </w:rPr>
              <w:t>200.000</w:t>
            </w:r>
          </w:p>
        </w:tc>
      </w:tr>
      <w:tr w:rsidR="00D754B9" w:rsidRPr="00F02DA5" w:rsidTr="00D754B9">
        <w:tc>
          <w:tcPr>
            <w:tcW w:w="4428" w:type="dxa"/>
          </w:tcPr>
          <w:p w:rsidR="00D754B9" w:rsidRPr="00F02DA5" w:rsidRDefault="00D754B9" w:rsidP="00D754B9">
            <w:pPr>
              <w:rPr>
                <w:rFonts w:ascii="Bookman Old Style" w:hAnsi="Bookman Old Style" w:cs="Times New Roman"/>
                <w:lang w:val="en-GB"/>
              </w:rPr>
            </w:pPr>
            <w:r w:rsidRPr="00F02DA5">
              <w:rPr>
                <w:rFonts w:ascii="Bookman Old Style" w:hAnsi="Bookman Old Style" w:cs="Times New Roman"/>
                <w:lang w:val="en-GB"/>
              </w:rPr>
              <w:t>Shtypshkronja</w:t>
            </w:r>
          </w:p>
        </w:tc>
        <w:tc>
          <w:tcPr>
            <w:tcW w:w="3080" w:type="dxa"/>
          </w:tcPr>
          <w:p w:rsidR="00D754B9" w:rsidRPr="00F02DA5" w:rsidRDefault="00D754B9" w:rsidP="00D754B9">
            <w:pPr>
              <w:rPr>
                <w:rFonts w:ascii="Bookman Old Style" w:hAnsi="Bookman Old Style" w:cs="Times New Roman"/>
                <w:lang w:val="en-GB"/>
              </w:rPr>
            </w:pPr>
            <w:r w:rsidRPr="00F02DA5">
              <w:rPr>
                <w:rFonts w:ascii="Bookman Old Style" w:hAnsi="Bookman Old Style" w:cs="Times New Roman"/>
                <w:lang w:val="en-GB"/>
              </w:rPr>
              <w:t>210.000</w:t>
            </w:r>
          </w:p>
        </w:tc>
      </w:tr>
      <w:tr w:rsidR="00D754B9" w:rsidRPr="00F02DA5" w:rsidTr="00D754B9">
        <w:tc>
          <w:tcPr>
            <w:tcW w:w="4428" w:type="dxa"/>
          </w:tcPr>
          <w:p w:rsidR="00D754B9" w:rsidRPr="00F02DA5" w:rsidRDefault="00D754B9" w:rsidP="00D754B9">
            <w:pPr>
              <w:rPr>
                <w:rFonts w:ascii="Bookman Old Style" w:hAnsi="Bookman Old Style" w:cs="Times New Roman"/>
                <w:lang w:val="en-GB"/>
              </w:rPr>
            </w:pPr>
            <w:r w:rsidRPr="00F02DA5">
              <w:rPr>
                <w:rFonts w:ascii="Bookman Old Style" w:hAnsi="Bookman Old Style" w:cs="Times New Roman"/>
                <w:lang w:val="en-GB"/>
              </w:rPr>
              <w:t>Artikujt (Autorët  e Shkrimit)</w:t>
            </w:r>
          </w:p>
        </w:tc>
        <w:tc>
          <w:tcPr>
            <w:tcW w:w="3080" w:type="dxa"/>
          </w:tcPr>
          <w:p w:rsidR="00D754B9" w:rsidRPr="00F02DA5" w:rsidRDefault="00D754B9" w:rsidP="00D754B9">
            <w:pPr>
              <w:rPr>
                <w:rFonts w:ascii="Bookman Old Style" w:hAnsi="Bookman Old Style" w:cs="Times New Roman"/>
                <w:lang w:val="en-GB"/>
              </w:rPr>
            </w:pPr>
            <w:r w:rsidRPr="00F02DA5">
              <w:rPr>
                <w:rFonts w:ascii="Bookman Old Style" w:hAnsi="Bookman Old Style" w:cs="Times New Roman"/>
                <w:lang w:val="en-GB"/>
              </w:rPr>
              <w:t>560.000</w:t>
            </w:r>
          </w:p>
        </w:tc>
      </w:tr>
      <w:tr w:rsidR="00D754B9" w:rsidRPr="00F02DA5" w:rsidTr="00D754B9">
        <w:tc>
          <w:tcPr>
            <w:tcW w:w="4428" w:type="dxa"/>
          </w:tcPr>
          <w:p w:rsidR="00D754B9" w:rsidRPr="00F02DA5" w:rsidRDefault="00D754B9" w:rsidP="00D754B9">
            <w:pPr>
              <w:spacing w:after="0"/>
              <w:rPr>
                <w:rFonts w:ascii="Bookman Old Style" w:hAnsi="Bookman Old Style" w:cs="Times New Roman"/>
                <w:b/>
                <w:lang w:val="en-GB"/>
              </w:rPr>
            </w:pPr>
            <w:r w:rsidRPr="00F02DA5">
              <w:rPr>
                <w:rFonts w:ascii="Bookman Old Style" w:hAnsi="Bookman Old Style" w:cs="Times New Roman"/>
                <w:b/>
                <w:lang w:val="en-GB"/>
              </w:rPr>
              <w:t xml:space="preserve">Gjithsej </w:t>
            </w:r>
          </w:p>
        </w:tc>
        <w:tc>
          <w:tcPr>
            <w:tcW w:w="3080" w:type="dxa"/>
          </w:tcPr>
          <w:p w:rsidR="00D754B9" w:rsidRPr="00F02DA5" w:rsidRDefault="00D754B9" w:rsidP="00D754B9">
            <w:pPr>
              <w:spacing w:after="0"/>
              <w:rPr>
                <w:rFonts w:ascii="Bookman Old Style" w:hAnsi="Bookman Old Style" w:cs="Times New Roman"/>
                <w:b/>
                <w:lang w:val="en-GB"/>
              </w:rPr>
            </w:pPr>
            <w:r w:rsidRPr="00F02DA5">
              <w:rPr>
                <w:rFonts w:ascii="Bookman Old Style" w:hAnsi="Bookman Old Style" w:cs="Times New Roman"/>
                <w:b/>
                <w:lang w:val="en-GB"/>
              </w:rPr>
              <w:t xml:space="preserve">970.180 </w:t>
            </w:r>
          </w:p>
        </w:tc>
      </w:tr>
    </w:tbl>
    <w:p w:rsidR="00D754B9" w:rsidRDefault="00D754B9" w:rsidP="00D754B9">
      <w:pPr>
        <w:spacing w:after="0"/>
        <w:rPr>
          <w:rFonts w:ascii="Bookman Old Style" w:hAnsi="Bookman Old Style" w:cs="Times New Roman"/>
          <w:lang w:val="en-GB"/>
        </w:rPr>
      </w:pPr>
    </w:p>
    <w:p w:rsidR="005D459F" w:rsidRDefault="005D459F" w:rsidP="00D754B9">
      <w:pPr>
        <w:spacing w:after="0"/>
        <w:rPr>
          <w:rFonts w:ascii="Bookman Old Style" w:hAnsi="Bookman Old Style" w:cs="Times New Roman"/>
          <w:lang w:val="en-GB"/>
        </w:rPr>
      </w:pPr>
    </w:p>
    <w:p w:rsidR="005D459F" w:rsidRDefault="005D459F" w:rsidP="00D754B9">
      <w:pPr>
        <w:spacing w:after="0"/>
        <w:rPr>
          <w:rFonts w:ascii="Bookman Old Style" w:hAnsi="Bookman Old Style" w:cs="Times New Roman"/>
          <w:lang w:val="en-GB"/>
        </w:rPr>
      </w:pPr>
    </w:p>
    <w:p w:rsidR="00201C85" w:rsidRDefault="00201C85" w:rsidP="00D754B9">
      <w:pPr>
        <w:spacing w:after="0"/>
        <w:rPr>
          <w:rFonts w:ascii="Bookman Old Style" w:hAnsi="Bookman Old Style" w:cs="Times New Roman"/>
          <w:lang w:val="en-GB"/>
        </w:rPr>
      </w:pPr>
    </w:p>
    <w:p w:rsidR="005D459F" w:rsidRDefault="005D459F" w:rsidP="00D754B9">
      <w:pPr>
        <w:spacing w:after="0"/>
        <w:rPr>
          <w:rFonts w:ascii="Bookman Old Style" w:hAnsi="Bookman Old Style" w:cs="Times New Roman"/>
          <w:lang w:val="en-GB"/>
        </w:rPr>
      </w:pPr>
    </w:p>
    <w:p w:rsidR="005D459F" w:rsidRPr="00F02DA5" w:rsidRDefault="005D459F" w:rsidP="00D754B9">
      <w:pPr>
        <w:spacing w:after="0"/>
        <w:rPr>
          <w:rFonts w:ascii="Bookman Old Style" w:hAnsi="Bookman Old Style" w:cs="Times New Roman"/>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3080"/>
      </w:tblGrid>
      <w:tr w:rsidR="00D754B9" w:rsidRPr="00F02DA5" w:rsidTr="00D754B9">
        <w:trPr>
          <w:trHeight w:val="341"/>
        </w:trPr>
        <w:tc>
          <w:tcPr>
            <w:tcW w:w="4428" w:type="dxa"/>
          </w:tcPr>
          <w:p w:rsidR="00D754B9" w:rsidRPr="00F02DA5" w:rsidRDefault="00D754B9" w:rsidP="00D754B9">
            <w:pPr>
              <w:spacing w:after="0"/>
              <w:rPr>
                <w:rFonts w:ascii="Bookman Old Style" w:hAnsi="Bookman Old Style" w:cs="Times New Roman"/>
                <w:b/>
                <w:lang w:val="en-GB"/>
              </w:rPr>
            </w:pPr>
            <w:r w:rsidRPr="00F02DA5">
              <w:rPr>
                <w:rFonts w:ascii="Bookman Old Style" w:hAnsi="Bookman Old Style" w:cs="Times New Roman"/>
                <w:b/>
                <w:lang w:val="en-GB"/>
              </w:rPr>
              <w:t>Revista Nr. 1, viti 2016</w:t>
            </w:r>
          </w:p>
        </w:tc>
        <w:tc>
          <w:tcPr>
            <w:tcW w:w="3080" w:type="dxa"/>
          </w:tcPr>
          <w:p w:rsidR="00D754B9" w:rsidRPr="00F02DA5" w:rsidRDefault="00D754B9" w:rsidP="00D754B9">
            <w:pPr>
              <w:spacing w:after="0"/>
              <w:rPr>
                <w:rFonts w:ascii="Bookman Old Style" w:hAnsi="Bookman Old Style" w:cs="Times New Roman"/>
                <w:b/>
                <w:lang w:val="en-GB"/>
              </w:rPr>
            </w:pPr>
            <w:r w:rsidRPr="00F02DA5">
              <w:rPr>
                <w:rFonts w:ascii="Bookman Old Style" w:hAnsi="Bookman Old Style" w:cs="Times New Roman"/>
                <w:b/>
                <w:lang w:val="en-GB"/>
              </w:rPr>
              <w:t xml:space="preserve">Tarifa në Lek </w:t>
            </w:r>
          </w:p>
        </w:tc>
      </w:tr>
      <w:tr w:rsidR="00D754B9" w:rsidRPr="00F02DA5" w:rsidTr="00D754B9">
        <w:tc>
          <w:tcPr>
            <w:tcW w:w="4428" w:type="dxa"/>
          </w:tcPr>
          <w:p w:rsidR="00D754B9" w:rsidRPr="00F02DA5" w:rsidRDefault="00D754B9" w:rsidP="00D754B9">
            <w:pPr>
              <w:rPr>
                <w:rFonts w:ascii="Bookman Old Style" w:hAnsi="Bookman Old Style" w:cs="Times New Roman"/>
                <w:lang w:val="en-GB"/>
              </w:rPr>
            </w:pPr>
            <w:r w:rsidRPr="00F02DA5">
              <w:rPr>
                <w:rFonts w:ascii="Bookman Old Style" w:hAnsi="Bookman Old Style" w:cs="Times New Roman"/>
                <w:lang w:val="en-GB"/>
              </w:rPr>
              <w:t>Anëtarët e Redaksisë</w:t>
            </w:r>
          </w:p>
        </w:tc>
        <w:tc>
          <w:tcPr>
            <w:tcW w:w="3080" w:type="dxa"/>
          </w:tcPr>
          <w:p w:rsidR="00D754B9" w:rsidRPr="00F02DA5" w:rsidRDefault="00D754B9" w:rsidP="00D754B9">
            <w:pPr>
              <w:rPr>
                <w:rFonts w:ascii="Bookman Old Style" w:hAnsi="Bookman Old Style" w:cs="Times New Roman"/>
                <w:lang w:val="en-GB"/>
              </w:rPr>
            </w:pPr>
            <w:r w:rsidRPr="00F02DA5">
              <w:rPr>
                <w:rFonts w:ascii="Bookman Old Style" w:hAnsi="Bookman Old Style" w:cs="Times New Roman"/>
                <w:lang w:val="en-GB"/>
              </w:rPr>
              <w:t>90.000</w:t>
            </w:r>
          </w:p>
        </w:tc>
      </w:tr>
      <w:tr w:rsidR="00D754B9" w:rsidRPr="00F02DA5" w:rsidTr="00D754B9">
        <w:tc>
          <w:tcPr>
            <w:tcW w:w="4428" w:type="dxa"/>
          </w:tcPr>
          <w:p w:rsidR="00D754B9" w:rsidRPr="00F02DA5" w:rsidRDefault="00D754B9" w:rsidP="00D754B9">
            <w:pPr>
              <w:rPr>
                <w:rFonts w:ascii="Bookman Old Style" w:hAnsi="Bookman Old Style" w:cs="Times New Roman"/>
                <w:lang w:val="en-GB"/>
              </w:rPr>
            </w:pPr>
            <w:r w:rsidRPr="00F02DA5">
              <w:rPr>
                <w:rFonts w:ascii="Bookman Old Style" w:hAnsi="Bookman Old Style" w:cs="Times New Roman"/>
                <w:lang w:val="en-GB"/>
              </w:rPr>
              <w:t>Shtypshkronja</w:t>
            </w:r>
          </w:p>
        </w:tc>
        <w:tc>
          <w:tcPr>
            <w:tcW w:w="3080" w:type="dxa"/>
          </w:tcPr>
          <w:p w:rsidR="00D754B9" w:rsidRPr="00F02DA5" w:rsidRDefault="00D754B9" w:rsidP="00D754B9">
            <w:pPr>
              <w:rPr>
                <w:rFonts w:ascii="Bookman Old Style" w:hAnsi="Bookman Old Style" w:cs="Times New Roman"/>
                <w:lang w:val="en-GB"/>
              </w:rPr>
            </w:pPr>
            <w:r w:rsidRPr="00F02DA5">
              <w:rPr>
                <w:rFonts w:ascii="Bookman Old Style" w:hAnsi="Bookman Old Style" w:cs="Times New Roman"/>
                <w:lang w:val="en-GB"/>
              </w:rPr>
              <w:t>72.000</w:t>
            </w:r>
          </w:p>
        </w:tc>
      </w:tr>
      <w:tr w:rsidR="00D754B9" w:rsidRPr="00F02DA5" w:rsidTr="00D754B9">
        <w:tc>
          <w:tcPr>
            <w:tcW w:w="4428" w:type="dxa"/>
          </w:tcPr>
          <w:p w:rsidR="00D754B9" w:rsidRPr="00F02DA5" w:rsidRDefault="00D754B9" w:rsidP="00D754B9">
            <w:pPr>
              <w:rPr>
                <w:rFonts w:ascii="Bookman Old Style" w:hAnsi="Bookman Old Style" w:cs="Times New Roman"/>
                <w:lang w:val="en-GB"/>
              </w:rPr>
            </w:pPr>
            <w:r w:rsidRPr="00F02DA5">
              <w:rPr>
                <w:rFonts w:ascii="Bookman Old Style" w:hAnsi="Bookman Old Style" w:cs="Times New Roman"/>
                <w:lang w:val="en-GB"/>
              </w:rPr>
              <w:t>Artikujt (Autorët  e Shkrimit)</w:t>
            </w:r>
          </w:p>
        </w:tc>
        <w:tc>
          <w:tcPr>
            <w:tcW w:w="3080" w:type="dxa"/>
          </w:tcPr>
          <w:p w:rsidR="00D754B9" w:rsidRPr="00F02DA5" w:rsidRDefault="00D754B9" w:rsidP="00D754B9">
            <w:pPr>
              <w:rPr>
                <w:rFonts w:ascii="Bookman Old Style" w:hAnsi="Bookman Old Style" w:cs="Times New Roman"/>
                <w:lang w:val="en-GB"/>
              </w:rPr>
            </w:pPr>
            <w:r w:rsidRPr="00F02DA5">
              <w:rPr>
                <w:rFonts w:ascii="Bookman Old Style" w:hAnsi="Bookman Old Style" w:cs="Times New Roman"/>
                <w:lang w:val="en-GB"/>
              </w:rPr>
              <w:t>206.560</w:t>
            </w:r>
          </w:p>
        </w:tc>
      </w:tr>
      <w:tr w:rsidR="00D754B9" w:rsidRPr="00F02DA5" w:rsidTr="00D754B9">
        <w:tc>
          <w:tcPr>
            <w:tcW w:w="4428" w:type="dxa"/>
          </w:tcPr>
          <w:p w:rsidR="00D754B9" w:rsidRPr="00F02DA5" w:rsidRDefault="00D754B9" w:rsidP="00D754B9">
            <w:pPr>
              <w:rPr>
                <w:rFonts w:ascii="Bookman Old Style" w:hAnsi="Bookman Old Style" w:cs="Times New Roman"/>
                <w:lang w:val="en-GB"/>
              </w:rPr>
            </w:pPr>
            <w:r w:rsidRPr="00F02DA5">
              <w:rPr>
                <w:rFonts w:ascii="Bookman Old Style" w:hAnsi="Bookman Old Style" w:cs="Times New Roman"/>
                <w:lang w:val="en-GB"/>
              </w:rPr>
              <w:t xml:space="preserve">Gjithsej </w:t>
            </w:r>
          </w:p>
        </w:tc>
        <w:tc>
          <w:tcPr>
            <w:tcW w:w="3080" w:type="dxa"/>
          </w:tcPr>
          <w:p w:rsidR="00D754B9" w:rsidRPr="00F02DA5" w:rsidRDefault="00D754B9" w:rsidP="00D754B9">
            <w:pPr>
              <w:rPr>
                <w:rFonts w:ascii="Bookman Old Style" w:hAnsi="Bookman Old Style" w:cs="Times New Roman"/>
                <w:b/>
                <w:lang w:val="en-GB"/>
              </w:rPr>
            </w:pPr>
            <w:r w:rsidRPr="00F02DA5">
              <w:rPr>
                <w:rFonts w:ascii="Bookman Old Style" w:hAnsi="Bookman Old Style" w:cs="Times New Roman"/>
                <w:b/>
                <w:lang w:val="en-GB"/>
              </w:rPr>
              <w:t xml:space="preserve">368.560 </w:t>
            </w:r>
          </w:p>
        </w:tc>
      </w:tr>
    </w:tbl>
    <w:p w:rsidR="00D754B9" w:rsidRPr="00F02DA5" w:rsidRDefault="00D754B9" w:rsidP="00D754B9">
      <w:pPr>
        <w:autoSpaceDE w:val="0"/>
        <w:autoSpaceDN w:val="0"/>
        <w:adjustRightInd w:val="0"/>
        <w:rPr>
          <w:rFonts w:ascii="Bookman Old Style" w:hAnsi="Bookman Old Style" w:cs="Times New Roman"/>
          <w:b/>
          <w:lang w:val="en-GB"/>
        </w:rPr>
      </w:pPr>
    </w:p>
    <w:p w:rsidR="00D754B9" w:rsidRPr="005D459F" w:rsidRDefault="005D459F" w:rsidP="005D459F">
      <w:pPr>
        <w:jc w:val="both"/>
        <w:rPr>
          <w:rFonts w:ascii="Bookman Old Style" w:hAnsi="Bookman Old Style"/>
          <w:b/>
          <w:bCs/>
          <w:color w:val="372971" w:themeColor="accent5" w:themeShade="80"/>
          <w:sz w:val="24"/>
          <w:szCs w:val="24"/>
        </w:rPr>
      </w:pPr>
      <w:r>
        <w:rPr>
          <w:rFonts w:ascii="Bookman Old Style" w:hAnsi="Bookman Old Style"/>
          <w:b/>
          <w:bCs/>
          <w:color w:val="372971" w:themeColor="accent5" w:themeShade="80"/>
          <w:sz w:val="24"/>
          <w:szCs w:val="24"/>
        </w:rPr>
        <w:t>3.2</w:t>
      </w:r>
      <w:r w:rsidR="00D754B9" w:rsidRPr="005D459F">
        <w:rPr>
          <w:rFonts w:ascii="Bookman Old Style" w:hAnsi="Bookman Old Style"/>
          <w:b/>
          <w:bCs/>
          <w:color w:val="372971" w:themeColor="accent5" w:themeShade="80"/>
          <w:sz w:val="24"/>
          <w:szCs w:val="24"/>
        </w:rPr>
        <w:t xml:space="preserve"> Raporti për  Botimet e Teksteve Shkencore të Shkollës së Magjistraturës 2015 - 2016</w:t>
      </w:r>
    </w:p>
    <w:p w:rsidR="00D754B9" w:rsidRPr="00F02DA5" w:rsidRDefault="00D754B9" w:rsidP="00D754B9">
      <w:pPr>
        <w:jc w:val="both"/>
        <w:rPr>
          <w:rFonts w:ascii="Bookman Old Style" w:hAnsi="Bookman Old Style" w:cs="Times New Roman"/>
          <w:lang w:val="en-GB"/>
        </w:rPr>
      </w:pPr>
      <w:r w:rsidRPr="00F02DA5">
        <w:rPr>
          <w:rFonts w:ascii="Bookman Old Style" w:hAnsi="Bookman Old Style" w:cs="Times New Roman"/>
          <w:lang w:val="en-GB"/>
        </w:rPr>
        <w:t>Shkolla e Magjistraturës mund të botojë nën emrin dhe kujdesin e saj tekstet dhe librat, të cilët trajtojnë probleme ligjore të lidhura ngushtë me programet e lëndëve dhe kurseve të trajnimit fillestar e vazhdues të gjyqtarëve dhe prokurorëve, duke synuar në unifikimin dhe analizimin e praktikës gjyqësore dhe juridike kombëtare dhe ndërkombëtare. Tekstet konsiderohen tekste shkencore dhe do të botohen nën drejtimin dhe kujdesin e Shkollës së Magjistraturës.</w:t>
      </w:r>
    </w:p>
    <w:p w:rsidR="00D754B9" w:rsidRPr="00F02DA5" w:rsidRDefault="00D754B9" w:rsidP="00D754B9">
      <w:pPr>
        <w:autoSpaceDE w:val="0"/>
        <w:autoSpaceDN w:val="0"/>
        <w:adjustRightInd w:val="0"/>
        <w:jc w:val="both"/>
        <w:rPr>
          <w:rFonts w:ascii="Bookman Old Style" w:hAnsi="Bookman Old Style" w:cs="Times New Roman"/>
          <w:lang w:val="en-GB"/>
        </w:rPr>
      </w:pPr>
      <w:r w:rsidRPr="00F02DA5">
        <w:rPr>
          <w:rFonts w:ascii="Bookman Old Style" w:hAnsi="Bookman Old Style" w:cs="Times New Roman"/>
          <w:lang w:val="en-GB"/>
        </w:rPr>
        <w:t xml:space="preserve">Këshilli Drejtues i Shkollës së Magjistraturës ka nxjerrë Vendimin  Nr. 17 dt. 17.12.2014. i cili përcakton anëtarët e bordit dhe bazën ligjore për përballimin e shpenzimeve. </w:t>
      </w:r>
    </w:p>
    <w:p w:rsidR="00D754B9" w:rsidRPr="00F02DA5" w:rsidRDefault="00D754B9" w:rsidP="00D754B9">
      <w:pPr>
        <w:jc w:val="both"/>
        <w:rPr>
          <w:rFonts w:ascii="Bookman Old Style" w:hAnsi="Bookman Old Style" w:cs="Times New Roman"/>
          <w:lang w:val="en-GB"/>
        </w:rPr>
      </w:pPr>
      <w:r w:rsidRPr="00F02DA5">
        <w:rPr>
          <w:rFonts w:ascii="Bookman Old Style" w:hAnsi="Bookman Old Style" w:cs="Times New Roman"/>
          <w:lang w:val="en-GB"/>
        </w:rPr>
        <w:t xml:space="preserve">Një sfidë e rëndësishme për institucionin mbeten botimet  nën emrin e Shkollës së Magjistraturës e logon e saj. Të drejtën e pronësisë mbi botimin e parë të tekstit e ka Shkolla e Magjistraturës, e cila ka të drejtën e shpërndarjes së tekstit gjyqtarëve, prokurorëve e juristëve, sipas kushteve të parashikuara në kontratën e lidhur nga autori me Drejtorinë e Shkollës. </w:t>
      </w:r>
    </w:p>
    <w:p w:rsidR="00D754B9" w:rsidRPr="00F02DA5" w:rsidRDefault="00D754B9" w:rsidP="00D754B9">
      <w:pPr>
        <w:jc w:val="both"/>
        <w:rPr>
          <w:rFonts w:ascii="Bookman Old Style" w:hAnsi="Bookman Old Style" w:cs="Times New Roman"/>
          <w:lang w:val="en-GB"/>
        </w:rPr>
      </w:pPr>
      <w:r w:rsidRPr="00F02DA5">
        <w:rPr>
          <w:rFonts w:ascii="Bookman Old Style" w:hAnsi="Bookman Old Style" w:cs="Times New Roman"/>
          <w:lang w:val="en-GB"/>
        </w:rPr>
        <w:t xml:space="preserve">Tekstet e Programit të Trajnimit Fillestar dhe Vazhdues të Shkollës së Magjistraturës konsiderohen tekste shkencore dhe botohen nën drejtimin dhe kujdesin e Shkollës. Botimi i këtyre teksteve synon të plotësojë literaturën juridike  me njohuri praktike dhe teorike në ndihmë të gjyqtarëve, prokurorëve që përgatiten rishtas nga Shkolla e Magjistraturës, si dhe në ndihmë të gjyqtarëve e prokurorëve në detyrë, të avokatëve e të përfaqësuesve të tjerë të profesioneve ligjore në procesin e Trajnimit Vazhdues. </w:t>
      </w:r>
    </w:p>
    <w:p w:rsidR="00D754B9" w:rsidRPr="00F02DA5" w:rsidRDefault="00D754B9" w:rsidP="00D754B9">
      <w:pPr>
        <w:jc w:val="both"/>
        <w:rPr>
          <w:rFonts w:ascii="Bookman Old Style" w:hAnsi="Bookman Old Style" w:cs="Times New Roman"/>
          <w:lang w:val="en-GB"/>
        </w:rPr>
      </w:pPr>
      <w:r w:rsidRPr="00F02DA5">
        <w:rPr>
          <w:rFonts w:ascii="Bookman Old Style" w:hAnsi="Bookman Old Style" w:cs="Times New Roman"/>
          <w:lang w:val="en-GB"/>
        </w:rPr>
        <w:t xml:space="preserve">Të drejtën për botim e kanë të gjithë pedagogët e brendshëm dhe të jashtëm të shkollës, ekspertët dhe trajnerët e saj si dhe në raste përjashtimore gjyqtarët, prokurorët e kandidatët për magjistratë,  autorë nga profesione të tjera në shërbim të sistemit të drejtësisë, kur botimi ka interes për praktikën gjyqësore dhe trajnimin e gjyqtarëve dhe prokurorëve. </w:t>
      </w:r>
    </w:p>
    <w:p w:rsidR="00D754B9" w:rsidRPr="00F02DA5" w:rsidRDefault="00D754B9" w:rsidP="00D754B9">
      <w:pPr>
        <w:jc w:val="both"/>
        <w:rPr>
          <w:rFonts w:ascii="Bookman Old Style" w:hAnsi="Bookman Old Style" w:cs="Times New Roman"/>
          <w:bCs/>
          <w:iCs/>
          <w:lang w:val="en-GB"/>
        </w:rPr>
      </w:pPr>
      <w:r w:rsidRPr="00F02DA5">
        <w:rPr>
          <w:rFonts w:ascii="Bookman Old Style" w:hAnsi="Bookman Old Style" w:cs="Times New Roman"/>
          <w:bCs/>
          <w:iCs/>
          <w:lang w:val="en-GB"/>
        </w:rPr>
        <w:t>Përmbajtja e tekstit përfshin të gjithë elementët e një botimi shkencore, si përsa i përket formës, ashtu edhe përmbajtjes. Botimet paraqiten si tekste me natyrë trajnuese, akademike, didaktike e praktike dhe jo më pak se 200 faqe.</w:t>
      </w:r>
    </w:p>
    <w:p w:rsidR="00D754B9" w:rsidRPr="00F02DA5" w:rsidRDefault="00D754B9" w:rsidP="00D754B9">
      <w:pPr>
        <w:jc w:val="both"/>
        <w:rPr>
          <w:rFonts w:ascii="Bookman Old Style" w:hAnsi="Bookman Old Style" w:cs="Times New Roman"/>
          <w:bCs/>
          <w:iCs/>
          <w:lang w:val="en-GB"/>
        </w:rPr>
      </w:pPr>
      <w:r w:rsidRPr="00F02DA5">
        <w:rPr>
          <w:rFonts w:ascii="Bookman Old Style" w:hAnsi="Bookman Old Style" w:cs="Times New Roman"/>
          <w:bCs/>
          <w:iCs/>
          <w:lang w:val="en-GB"/>
        </w:rPr>
        <w:lastRenderedPageBreak/>
        <w:t xml:space="preserve">Teksti është i strukturuar në kapituj, të cilët duhet t’i përgjigjen strukturës së programit mësimor të lëndës apo kursit përkatës të trajnimit fillestar të miratuar nga Këshilli Drejtues i Shkollës, ose në formë monografie kur në to përmblidhen materialet e një seminari të trajnimit vazhdues që lidhet me një temë specifike. </w:t>
      </w:r>
      <w:r w:rsidRPr="00F02DA5">
        <w:rPr>
          <w:rFonts w:ascii="Bookman Old Style" w:hAnsi="Bookman Old Style" w:cs="Times New Roman"/>
          <w:lang w:val="en-GB"/>
        </w:rPr>
        <w:t xml:space="preserve">Çdo tekst ka jo më pak se 30 – 40 raste  të praktikes gjyqësore për ilustrim, të shoqëruar me referencat përkatëse në vendimet e gjykatës. </w:t>
      </w:r>
      <w:r w:rsidRPr="00F02DA5">
        <w:rPr>
          <w:rFonts w:ascii="Bookman Old Style" w:hAnsi="Bookman Old Style" w:cs="Times New Roman"/>
          <w:bCs/>
          <w:iCs/>
          <w:lang w:val="en-GB"/>
        </w:rPr>
        <w:t xml:space="preserve">Teksti mund të përgatitet nga një autor apo grup autorësh, të cilët paraqesin kërkesë me shkrim dhe përbërja e grupit të autorëve miratohet paraprakisht nga Drejtoria e Shkollës. </w:t>
      </w:r>
    </w:p>
    <w:p w:rsidR="00D754B9" w:rsidRPr="00F02DA5" w:rsidRDefault="00D754B9" w:rsidP="00D754B9">
      <w:pPr>
        <w:jc w:val="both"/>
        <w:rPr>
          <w:rFonts w:ascii="Bookman Old Style" w:hAnsi="Bookman Old Style" w:cs="Times New Roman"/>
          <w:bCs/>
          <w:iCs/>
          <w:lang w:val="en-GB"/>
        </w:rPr>
      </w:pPr>
      <w:r w:rsidRPr="00F02DA5">
        <w:rPr>
          <w:rFonts w:ascii="Bookman Old Style" w:hAnsi="Bookman Old Style" w:cs="Times New Roman"/>
          <w:bCs/>
          <w:iCs/>
          <w:lang w:val="en-GB"/>
        </w:rPr>
        <w:t>Tekstet që paraqiten për t’u miratuar për botim në Shkollën e Magjistraturës nuk duhet të jenë botuar më parë si libër, tekst, apo  botim tjetër, si dhe nuk mund të botohen në të ardhmen pa lejen paraprake me shkrim të Drejtorisë së Shkollës dhe Bordit të Redaktorëve. Tekstet botohen me ISBN dhe me një tirazh të paktën 300 kopje.</w:t>
      </w:r>
    </w:p>
    <w:p w:rsidR="00D754B9" w:rsidRPr="00F02DA5" w:rsidRDefault="00D754B9" w:rsidP="00D754B9">
      <w:pPr>
        <w:jc w:val="both"/>
        <w:rPr>
          <w:rFonts w:ascii="Bookman Old Style" w:hAnsi="Bookman Old Style" w:cs="Times New Roman"/>
          <w:lang w:val="en-GB"/>
        </w:rPr>
      </w:pPr>
      <w:r w:rsidRPr="00F02DA5">
        <w:rPr>
          <w:rFonts w:ascii="Bookman Old Style" w:hAnsi="Bookman Old Style" w:cs="Times New Roman"/>
          <w:lang w:val="en-GB"/>
        </w:rPr>
        <w:t>Shkolla e Magjistraturës ka të drejtë të lidhë kontratë botimi për tekstin me shtëpitë botuese sipas rregullave financiare e organizimit të procedurave prokurimit publik dhe të verë në dijeni autorin për këtë gjë. Shpenzimet e botimit i ngarkohen tërësisht ose pjesërisht Shkollës së Magjistraturës, sipas kushteve të parashikuara në kontratën e lidhur prej saj me autorin. Me raste përjashtimore teksti mund të botohet nga autori, kur ky i fundit e pranon këtë gjë. Tekstet do të botohen nga Shkolla e Magjistraturës me fondet e saj që burojnë nga buxheti i shtetit, me donacionet e ofruara nga donatorë vendas dhe të huaj apo nga vetë autorët.</w:t>
      </w:r>
    </w:p>
    <w:p w:rsidR="00D754B9" w:rsidRPr="00F02DA5" w:rsidRDefault="00D754B9" w:rsidP="00D754B9">
      <w:pPr>
        <w:rPr>
          <w:rFonts w:ascii="Bookman Old Style" w:hAnsi="Bookman Old Style" w:cs="Times New Roman"/>
          <w:lang w:val="en-GB"/>
        </w:rPr>
      </w:pPr>
      <w:r w:rsidRPr="005D459F">
        <w:rPr>
          <w:rFonts w:ascii="Bookman Old Style" w:hAnsi="Bookman Old Style" w:cs="Times New Roman"/>
          <w:b/>
          <w:i/>
          <w:lang w:val="en-GB"/>
        </w:rPr>
        <w:t>Për vitin akademik  2015 – 2016  me mbështetjen financiare të buxhetit të shtetit ka dalë nga shtypi libri, Jurisprudenca e Republikes Federale Gjermane” – Përkthim i Z. Petrit Plloçi – ish Anëtar i Gjykatës Kushtetuese</w:t>
      </w:r>
      <w:r w:rsidRPr="00F02DA5">
        <w:rPr>
          <w:rFonts w:ascii="Bookman Old Style" w:hAnsi="Bookman Old Style" w:cs="Times New Roman"/>
          <w:b/>
          <w:lang w:val="en-GB"/>
        </w:rPr>
        <w:t>.</w:t>
      </w:r>
    </w:p>
    <w:p w:rsidR="00D754B9" w:rsidRPr="00F02DA5" w:rsidRDefault="00D754B9" w:rsidP="00D754B9">
      <w:pPr>
        <w:rPr>
          <w:rFonts w:ascii="Bookman Old Style" w:hAnsi="Bookman Old Style" w:cs="Times New Roman"/>
          <w:lang w:val="en-GB"/>
        </w:rPr>
      </w:pPr>
      <w:r>
        <w:rPr>
          <w:rFonts w:ascii="Bookman Old Style" w:hAnsi="Bookman Old Style" w:cs="Times New Roman"/>
          <w:noProof/>
          <w:lang w:val="en-GB" w:eastAsia="en-GB"/>
        </w:rPr>
        <w:drawing>
          <wp:inline distT="0" distB="0" distL="0" distR="0">
            <wp:extent cx="1752600" cy="2581275"/>
            <wp:effectExtent l="1905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1752600" cy="2581275"/>
                    </a:xfrm>
                    <a:prstGeom prst="rect">
                      <a:avLst/>
                    </a:prstGeom>
                    <a:noFill/>
                    <a:ln w="9525">
                      <a:noFill/>
                      <a:miter lim="800000"/>
                      <a:headEnd/>
                      <a:tailEnd/>
                    </a:ln>
                  </pic:spPr>
                </pic:pic>
              </a:graphicData>
            </a:graphic>
          </wp:inline>
        </w:drawing>
      </w:r>
    </w:p>
    <w:p w:rsidR="00D754B9" w:rsidRPr="005D459F" w:rsidRDefault="00D754B9" w:rsidP="00D754B9">
      <w:pPr>
        <w:rPr>
          <w:rFonts w:ascii="Bookman Old Style" w:hAnsi="Bookman Old Style" w:cs="Times New Roman"/>
          <w:i/>
          <w:lang w:val="en-GB"/>
        </w:rPr>
      </w:pPr>
      <w:r w:rsidRPr="005D459F">
        <w:rPr>
          <w:rFonts w:ascii="Bookman Old Style" w:hAnsi="Bookman Old Style" w:cs="Times New Roman"/>
          <w:b/>
          <w:i/>
          <w:lang w:val="en-GB"/>
        </w:rPr>
        <w:t>Për vitin akademik  2015 – 2016  me mbështetjen financiare të Fondacionit Shoqëria e Hapur për Shqipërinë, të shtetit ka dalë nga shtypi, “Gjyqtari nëDemokraci”</w:t>
      </w:r>
    </w:p>
    <w:p w:rsidR="00D754B9" w:rsidRPr="00F02DA5" w:rsidRDefault="00D754B9" w:rsidP="00D754B9">
      <w:pPr>
        <w:jc w:val="both"/>
        <w:rPr>
          <w:rFonts w:ascii="Bookman Old Style" w:hAnsi="Bookman Old Style" w:cs="Times New Roman"/>
          <w:lang w:val="en-GB"/>
        </w:rPr>
      </w:pPr>
      <w:r>
        <w:rPr>
          <w:rFonts w:ascii="Bookman Old Style" w:hAnsi="Bookman Old Style" w:cs="Times New Roman"/>
          <w:noProof/>
          <w:lang w:val="en-GB" w:eastAsia="en-GB"/>
        </w:rPr>
        <w:lastRenderedPageBreak/>
        <w:drawing>
          <wp:inline distT="0" distB="0" distL="0" distR="0">
            <wp:extent cx="1819275" cy="2400300"/>
            <wp:effectExtent l="19050" t="0" r="9525"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1819275" cy="2400300"/>
                    </a:xfrm>
                    <a:prstGeom prst="rect">
                      <a:avLst/>
                    </a:prstGeom>
                    <a:noFill/>
                    <a:ln w="9525">
                      <a:noFill/>
                      <a:miter lim="800000"/>
                      <a:headEnd/>
                      <a:tailEnd/>
                    </a:ln>
                  </pic:spPr>
                </pic:pic>
              </a:graphicData>
            </a:graphic>
          </wp:inline>
        </w:drawing>
      </w:r>
    </w:p>
    <w:p w:rsidR="00D754B9" w:rsidRPr="005D459F" w:rsidRDefault="00D754B9" w:rsidP="00D754B9">
      <w:pPr>
        <w:rPr>
          <w:rFonts w:ascii="Bookman Old Style" w:hAnsi="Bookman Old Style" w:cs="Times New Roman"/>
          <w:b/>
          <w:i/>
          <w:lang w:val="en-GB"/>
        </w:rPr>
      </w:pPr>
      <w:r w:rsidRPr="005D459F">
        <w:rPr>
          <w:rFonts w:ascii="Bookman Old Style" w:hAnsi="Bookman Old Style" w:cs="Times New Roman"/>
          <w:b/>
          <w:i/>
          <w:lang w:val="en-GB"/>
        </w:rPr>
        <w:t>Për vitin akademik  2015 – 2016  me mbështetjen financiare të vetë autorëve në bashkëpunim me buxhetin e shtetit ka dalë nga shtypi  libri,  E drejta doganore – Tekst Mësimor – Prof Dr. Shamet Shabani dhe Dr. Alket Hyseni:</w:t>
      </w:r>
    </w:p>
    <w:p w:rsidR="00D754B9" w:rsidRPr="00F02DA5" w:rsidRDefault="00D754B9" w:rsidP="00D754B9">
      <w:pPr>
        <w:jc w:val="both"/>
        <w:rPr>
          <w:rFonts w:ascii="Bookman Old Style" w:hAnsi="Bookman Old Style" w:cs="Times New Roman"/>
          <w:lang w:val="en-GB"/>
        </w:rPr>
      </w:pPr>
      <w:r>
        <w:rPr>
          <w:rFonts w:ascii="Bookman Old Style" w:hAnsi="Bookman Old Style" w:cs="Times New Roman"/>
          <w:noProof/>
          <w:lang w:val="en-GB" w:eastAsia="en-GB"/>
        </w:rPr>
        <w:drawing>
          <wp:inline distT="0" distB="0" distL="0" distR="0">
            <wp:extent cx="1771650" cy="2466975"/>
            <wp:effectExtent l="19050" t="0" r="0"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771650" cy="2466975"/>
                    </a:xfrm>
                    <a:prstGeom prst="rect">
                      <a:avLst/>
                    </a:prstGeom>
                    <a:noFill/>
                    <a:ln w="9525">
                      <a:noFill/>
                      <a:miter lim="800000"/>
                      <a:headEnd/>
                      <a:tailEnd/>
                    </a:ln>
                  </pic:spPr>
                </pic:pic>
              </a:graphicData>
            </a:graphic>
          </wp:inline>
        </w:drawing>
      </w:r>
    </w:p>
    <w:p w:rsidR="00D754B9" w:rsidRPr="005D459F" w:rsidRDefault="00D754B9" w:rsidP="00D754B9">
      <w:pPr>
        <w:rPr>
          <w:rFonts w:ascii="Bookman Old Style" w:hAnsi="Bookman Old Style" w:cs="Times New Roman"/>
          <w:b/>
          <w:i/>
          <w:lang w:val="en-GB"/>
        </w:rPr>
      </w:pPr>
      <w:r w:rsidRPr="005D459F">
        <w:rPr>
          <w:rFonts w:ascii="Bookman Old Style" w:hAnsi="Bookman Old Style" w:cs="Times New Roman"/>
          <w:b/>
          <w:i/>
          <w:lang w:val="en-GB"/>
        </w:rPr>
        <w:t xml:space="preserve">Për vitin akademik  2015 – 2016  me mbështetjen financiare të GIZ kanë dalë nga shtypi revistat, Magjistrati 8 dhe Magjistrati 9:  </w:t>
      </w:r>
    </w:p>
    <w:p w:rsidR="00D754B9" w:rsidRPr="00F02DA5" w:rsidRDefault="00D754B9" w:rsidP="00D754B9">
      <w:pPr>
        <w:rPr>
          <w:rFonts w:ascii="Bookman Old Style" w:hAnsi="Bookman Old Style" w:cs="Times New Roman"/>
          <w:b/>
          <w:lang w:val="en-GB"/>
        </w:rPr>
      </w:pPr>
    </w:p>
    <w:p w:rsidR="00D754B9" w:rsidRPr="00F02DA5" w:rsidRDefault="00D754B9" w:rsidP="00D754B9">
      <w:pPr>
        <w:jc w:val="both"/>
        <w:rPr>
          <w:rFonts w:ascii="Bookman Old Style" w:hAnsi="Bookman Old Style" w:cs="Times New Roman"/>
          <w:lang w:val="en-GB"/>
        </w:rPr>
      </w:pPr>
      <w:r w:rsidRPr="00F02DA5">
        <w:rPr>
          <w:rFonts w:ascii="Bookman Old Style" w:hAnsi="Bookman Old Style" w:cs="Times New Roman"/>
          <w:lang w:val="en-GB"/>
        </w:rPr>
        <w:lastRenderedPageBreak/>
        <w:tab/>
      </w:r>
      <w:r>
        <w:rPr>
          <w:rFonts w:ascii="Bookman Old Style" w:hAnsi="Bookman Old Style" w:cs="Times New Roman"/>
          <w:noProof/>
          <w:lang w:val="en-GB" w:eastAsia="en-GB"/>
        </w:rPr>
        <w:drawing>
          <wp:inline distT="0" distB="0" distL="0" distR="0">
            <wp:extent cx="1800225" cy="2486025"/>
            <wp:effectExtent l="19050" t="0" r="9525"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1800225" cy="2486025"/>
                    </a:xfrm>
                    <a:prstGeom prst="rect">
                      <a:avLst/>
                    </a:prstGeom>
                    <a:noFill/>
                    <a:ln w="9525">
                      <a:noFill/>
                      <a:miter lim="800000"/>
                      <a:headEnd/>
                      <a:tailEnd/>
                    </a:ln>
                  </pic:spPr>
                </pic:pic>
              </a:graphicData>
            </a:graphic>
          </wp:inline>
        </w:drawing>
      </w:r>
      <w:r w:rsidRPr="00F02DA5">
        <w:rPr>
          <w:rFonts w:ascii="Bookman Old Style" w:hAnsi="Bookman Old Style" w:cs="Times New Roman"/>
          <w:lang w:val="en-GB"/>
        </w:rPr>
        <w:tab/>
      </w:r>
      <w:r w:rsidRPr="00F02DA5">
        <w:rPr>
          <w:rFonts w:ascii="Bookman Old Style" w:hAnsi="Bookman Old Style" w:cs="Times New Roman"/>
          <w:lang w:val="en-GB"/>
        </w:rPr>
        <w:tab/>
      </w:r>
      <w:r w:rsidRPr="00F02DA5">
        <w:rPr>
          <w:rFonts w:ascii="Bookman Old Style" w:hAnsi="Bookman Old Style" w:cs="Times New Roman"/>
          <w:lang w:val="en-GB"/>
        </w:rPr>
        <w:tab/>
      </w:r>
      <w:r>
        <w:rPr>
          <w:rFonts w:ascii="Bookman Old Style" w:hAnsi="Bookman Old Style" w:cs="Times New Roman"/>
          <w:noProof/>
          <w:lang w:val="en-GB" w:eastAsia="en-GB"/>
        </w:rPr>
        <w:drawing>
          <wp:inline distT="0" distB="0" distL="0" distR="0">
            <wp:extent cx="1828800" cy="2543175"/>
            <wp:effectExtent l="1905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1828800" cy="2543175"/>
                    </a:xfrm>
                    <a:prstGeom prst="rect">
                      <a:avLst/>
                    </a:prstGeom>
                    <a:noFill/>
                    <a:ln w="9525">
                      <a:noFill/>
                      <a:miter lim="800000"/>
                      <a:headEnd/>
                      <a:tailEnd/>
                    </a:ln>
                  </pic:spPr>
                </pic:pic>
              </a:graphicData>
            </a:graphic>
          </wp:inline>
        </w:drawing>
      </w:r>
    </w:p>
    <w:p w:rsidR="00D754B9" w:rsidRPr="00F02DA5" w:rsidRDefault="00D754B9" w:rsidP="00D754B9">
      <w:pPr>
        <w:spacing w:after="0" w:line="240" w:lineRule="auto"/>
        <w:rPr>
          <w:rFonts w:ascii="Bookman Old Style" w:hAnsi="Bookman Old Style" w:cs="Times New Roman"/>
          <w:b/>
          <w:lang w:val="en-GB"/>
        </w:rPr>
      </w:pPr>
    </w:p>
    <w:p w:rsidR="00D754B9" w:rsidRPr="00F02DA5" w:rsidRDefault="00D754B9" w:rsidP="00D754B9">
      <w:pPr>
        <w:spacing w:after="0" w:line="240" w:lineRule="auto"/>
        <w:rPr>
          <w:rFonts w:ascii="Bookman Old Style" w:hAnsi="Bookman Old Style" w:cs="Times New Roman"/>
          <w:b/>
          <w:lang w:val="en-GB"/>
        </w:rPr>
      </w:pPr>
    </w:p>
    <w:p w:rsidR="00D754B9" w:rsidRPr="00F02DA5" w:rsidRDefault="00D754B9" w:rsidP="00D754B9">
      <w:pPr>
        <w:spacing w:after="0" w:line="240" w:lineRule="auto"/>
        <w:rPr>
          <w:rFonts w:ascii="Bookman Old Style" w:hAnsi="Bookman Old Style" w:cs="Times New Roman"/>
          <w:b/>
          <w:lang w:val="en-GB"/>
        </w:rPr>
      </w:pPr>
      <w:r w:rsidRPr="00F02DA5">
        <w:rPr>
          <w:rFonts w:ascii="Bookman Old Style" w:hAnsi="Bookman Old Style" w:cs="Times New Roman"/>
          <w:b/>
          <w:lang w:val="en-GB"/>
        </w:rPr>
        <w:t xml:space="preserve">Për vitin 2016-2017 janë planifikuar edhe tituj të tjerë librash  të cilat janë në proces botimi me mbështetjen financiare të donatorëve si dhe të buxhetit  të shtetit, si më poshtë: </w:t>
      </w:r>
    </w:p>
    <w:p w:rsidR="00D754B9" w:rsidRPr="00F02DA5" w:rsidRDefault="00D754B9" w:rsidP="00D754B9">
      <w:pPr>
        <w:spacing w:after="0" w:line="240" w:lineRule="auto"/>
        <w:rPr>
          <w:rFonts w:ascii="Bookman Old Style" w:hAnsi="Bookman Old Style" w:cs="Times New Roman"/>
          <w:b/>
          <w:lang w:val="en-GB"/>
        </w:rPr>
      </w:pPr>
    </w:p>
    <w:p w:rsidR="00D754B9" w:rsidRPr="00F02DA5" w:rsidRDefault="00D754B9" w:rsidP="00D754B9">
      <w:pPr>
        <w:spacing w:after="0" w:line="240" w:lineRule="auto"/>
        <w:rPr>
          <w:rFonts w:ascii="Bookman Old Style" w:hAnsi="Bookman Old Style" w:cs="Times New Roman"/>
          <w:b/>
          <w:lang w:val="en-GB"/>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6"/>
        <w:gridCol w:w="3689"/>
        <w:gridCol w:w="2302"/>
        <w:gridCol w:w="1255"/>
        <w:gridCol w:w="1378"/>
      </w:tblGrid>
      <w:tr w:rsidR="00D754B9" w:rsidRPr="00F02DA5" w:rsidTr="00D754B9">
        <w:tc>
          <w:tcPr>
            <w:tcW w:w="556" w:type="dxa"/>
          </w:tcPr>
          <w:p w:rsidR="00D754B9" w:rsidRPr="00F02DA5" w:rsidRDefault="00D754B9" w:rsidP="00D754B9">
            <w:pPr>
              <w:spacing w:after="0" w:line="240" w:lineRule="auto"/>
              <w:rPr>
                <w:rFonts w:ascii="Bookman Old Style" w:hAnsi="Bookman Old Style" w:cs="Times New Roman"/>
                <w:b/>
                <w:lang w:val="en-GB"/>
              </w:rPr>
            </w:pPr>
            <w:r w:rsidRPr="00F02DA5">
              <w:rPr>
                <w:rFonts w:ascii="Bookman Old Style" w:hAnsi="Bookman Old Style" w:cs="Times New Roman"/>
                <w:b/>
                <w:lang w:val="en-GB"/>
              </w:rPr>
              <w:t>Nr.</w:t>
            </w:r>
          </w:p>
        </w:tc>
        <w:tc>
          <w:tcPr>
            <w:tcW w:w="3689" w:type="dxa"/>
          </w:tcPr>
          <w:p w:rsidR="00D754B9" w:rsidRPr="00F02DA5" w:rsidRDefault="00D754B9" w:rsidP="00D754B9">
            <w:pPr>
              <w:spacing w:after="0" w:line="240" w:lineRule="auto"/>
              <w:rPr>
                <w:rFonts w:ascii="Bookman Old Style" w:hAnsi="Bookman Old Style" w:cs="Times New Roman"/>
                <w:b/>
                <w:lang w:val="en-GB"/>
              </w:rPr>
            </w:pPr>
            <w:r w:rsidRPr="00F02DA5">
              <w:rPr>
                <w:rFonts w:ascii="Bookman Old Style" w:hAnsi="Bookman Old Style" w:cs="Times New Roman"/>
                <w:b/>
                <w:lang w:val="en-GB"/>
              </w:rPr>
              <w:t>Titujt e botimeve</w:t>
            </w:r>
          </w:p>
        </w:tc>
        <w:tc>
          <w:tcPr>
            <w:tcW w:w="2302" w:type="dxa"/>
          </w:tcPr>
          <w:p w:rsidR="00D754B9" w:rsidRPr="00F02DA5" w:rsidRDefault="00D754B9" w:rsidP="00D754B9">
            <w:pPr>
              <w:spacing w:after="0" w:line="240" w:lineRule="auto"/>
              <w:rPr>
                <w:rFonts w:ascii="Bookman Old Style" w:hAnsi="Bookman Old Style" w:cs="Times New Roman"/>
                <w:b/>
                <w:lang w:val="en-GB"/>
              </w:rPr>
            </w:pPr>
            <w:r w:rsidRPr="00F02DA5">
              <w:rPr>
                <w:rFonts w:ascii="Bookman Old Style" w:hAnsi="Bookman Old Style" w:cs="Times New Roman"/>
                <w:b/>
                <w:lang w:val="en-GB"/>
              </w:rPr>
              <w:t>Nr i faqeve</w:t>
            </w:r>
          </w:p>
        </w:tc>
        <w:tc>
          <w:tcPr>
            <w:tcW w:w="1255" w:type="dxa"/>
          </w:tcPr>
          <w:p w:rsidR="00D754B9" w:rsidRPr="00F02DA5" w:rsidRDefault="00D754B9" w:rsidP="00D754B9">
            <w:pPr>
              <w:spacing w:after="0" w:line="240" w:lineRule="auto"/>
              <w:rPr>
                <w:rFonts w:ascii="Bookman Old Style" w:hAnsi="Bookman Old Style" w:cs="Times New Roman"/>
                <w:b/>
                <w:lang w:val="en-GB"/>
              </w:rPr>
            </w:pPr>
            <w:r w:rsidRPr="00F02DA5">
              <w:rPr>
                <w:rFonts w:ascii="Bookman Old Style" w:hAnsi="Bookman Old Style" w:cs="Times New Roman"/>
                <w:b/>
                <w:lang w:val="en-GB"/>
              </w:rPr>
              <w:t>Nr. i kopjeve</w:t>
            </w:r>
          </w:p>
        </w:tc>
        <w:tc>
          <w:tcPr>
            <w:tcW w:w="1378" w:type="dxa"/>
            <w:tcBorders>
              <w:left w:val="single" w:sz="4" w:space="0" w:color="auto"/>
            </w:tcBorders>
          </w:tcPr>
          <w:p w:rsidR="00D754B9" w:rsidRPr="00F02DA5" w:rsidRDefault="00D754B9" w:rsidP="00D754B9">
            <w:pPr>
              <w:spacing w:after="0" w:line="240" w:lineRule="auto"/>
              <w:rPr>
                <w:rFonts w:ascii="Bookman Old Style" w:hAnsi="Bookman Old Style" w:cs="Times New Roman"/>
                <w:b/>
                <w:lang w:val="en-GB"/>
              </w:rPr>
            </w:pPr>
            <w:r w:rsidRPr="00F02DA5">
              <w:rPr>
                <w:rFonts w:ascii="Bookman Old Style" w:hAnsi="Bookman Old Style" w:cs="Times New Roman"/>
                <w:b/>
                <w:lang w:val="en-GB"/>
              </w:rPr>
              <w:t>Financimi</w:t>
            </w:r>
          </w:p>
        </w:tc>
      </w:tr>
      <w:tr w:rsidR="00D754B9" w:rsidRPr="00F02DA5" w:rsidTr="00D754B9">
        <w:tc>
          <w:tcPr>
            <w:tcW w:w="556"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1</w:t>
            </w:r>
          </w:p>
        </w:tc>
        <w:tc>
          <w:tcPr>
            <w:tcW w:w="3689"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Revista Nr. 2,3, - 2016</w:t>
            </w:r>
          </w:p>
        </w:tc>
        <w:tc>
          <w:tcPr>
            <w:tcW w:w="2302"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300 ( 150 faqe shqip &amp; 150 faqe anglisht)</w:t>
            </w:r>
          </w:p>
        </w:tc>
        <w:tc>
          <w:tcPr>
            <w:tcW w:w="1255"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300</w:t>
            </w:r>
          </w:p>
        </w:tc>
        <w:tc>
          <w:tcPr>
            <w:tcW w:w="1378" w:type="dxa"/>
            <w:tcBorders>
              <w:left w:val="single" w:sz="4" w:space="0" w:color="auto"/>
            </w:tcBorders>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Buxhet i Shtetit</w:t>
            </w:r>
          </w:p>
        </w:tc>
      </w:tr>
      <w:tr w:rsidR="00D754B9" w:rsidRPr="00F02DA5" w:rsidTr="00D754B9">
        <w:tc>
          <w:tcPr>
            <w:tcW w:w="556"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2</w:t>
            </w:r>
          </w:p>
        </w:tc>
        <w:tc>
          <w:tcPr>
            <w:tcW w:w="3689"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Revista Nr.1,2,3, - 2017</w:t>
            </w:r>
          </w:p>
        </w:tc>
        <w:tc>
          <w:tcPr>
            <w:tcW w:w="2302"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300 ( 150 faqe shqip &amp; 150 faqe anglisht)</w:t>
            </w:r>
          </w:p>
        </w:tc>
        <w:tc>
          <w:tcPr>
            <w:tcW w:w="1255"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300</w:t>
            </w:r>
          </w:p>
        </w:tc>
        <w:tc>
          <w:tcPr>
            <w:tcW w:w="1378" w:type="dxa"/>
            <w:tcBorders>
              <w:left w:val="single" w:sz="4" w:space="0" w:color="auto"/>
            </w:tcBorders>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Buxhet i Shtetit</w:t>
            </w:r>
          </w:p>
        </w:tc>
      </w:tr>
      <w:tr w:rsidR="00D754B9" w:rsidRPr="00F02DA5" w:rsidTr="00D754B9">
        <w:tc>
          <w:tcPr>
            <w:tcW w:w="556"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3</w:t>
            </w:r>
          </w:p>
        </w:tc>
        <w:tc>
          <w:tcPr>
            <w:tcW w:w="3689"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E Drejta Familjare Casebook</w:t>
            </w:r>
          </w:p>
        </w:tc>
        <w:tc>
          <w:tcPr>
            <w:tcW w:w="2302"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200</w:t>
            </w:r>
          </w:p>
        </w:tc>
        <w:tc>
          <w:tcPr>
            <w:tcW w:w="1255"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300</w:t>
            </w:r>
          </w:p>
        </w:tc>
        <w:tc>
          <w:tcPr>
            <w:tcW w:w="1378" w:type="dxa"/>
            <w:tcBorders>
              <w:left w:val="single" w:sz="4" w:space="0" w:color="auto"/>
            </w:tcBorders>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PNUD</w:t>
            </w:r>
          </w:p>
        </w:tc>
      </w:tr>
      <w:tr w:rsidR="00D754B9" w:rsidRPr="00F02DA5" w:rsidTr="00D754B9">
        <w:tc>
          <w:tcPr>
            <w:tcW w:w="556"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4</w:t>
            </w:r>
          </w:p>
        </w:tc>
        <w:tc>
          <w:tcPr>
            <w:tcW w:w="3689"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Etika Gjyqësore – Teks</w:t>
            </w:r>
            <w:r w:rsidR="00581C05">
              <w:rPr>
                <w:rFonts w:ascii="Bookman Old Style" w:hAnsi="Bookman Old Style" w:cs="Times New Roman"/>
                <w:lang w:val="en-GB"/>
              </w:rPr>
              <w:t>t</w:t>
            </w:r>
            <w:r w:rsidRPr="00F02DA5">
              <w:rPr>
                <w:rFonts w:ascii="Bookman Old Style" w:hAnsi="Bookman Old Style" w:cs="Times New Roman"/>
                <w:lang w:val="en-GB"/>
              </w:rPr>
              <w:t xml:space="preserve"> Mësimor  - Elida Take – Evis Alimehmeti</w:t>
            </w:r>
          </w:p>
        </w:tc>
        <w:tc>
          <w:tcPr>
            <w:tcW w:w="2302"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200</w:t>
            </w:r>
          </w:p>
        </w:tc>
        <w:tc>
          <w:tcPr>
            <w:tcW w:w="1255"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300</w:t>
            </w:r>
          </w:p>
        </w:tc>
        <w:tc>
          <w:tcPr>
            <w:tcW w:w="1378" w:type="dxa"/>
            <w:tcBorders>
              <w:left w:val="single" w:sz="4" w:space="0" w:color="auto"/>
            </w:tcBorders>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Buxhet i Shtetit</w:t>
            </w:r>
          </w:p>
        </w:tc>
      </w:tr>
      <w:tr w:rsidR="00D754B9" w:rsidRPr="00F02DA5" w:rsidTr="00D754B9">
        <w:tc>
          <w:tcPr>
            <w:tcW w:w="556"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5</w:t>
            </w:r>
          </w:p>
        </w:tc>
        <w:tc>
          <w:tcPr>
            <w:tcW w:w="3689" w:type="dxa"/>
          </w:tcPr>
          <w:p w:rsidR="00D754B9" w:rsidRPr="00F02DA5" w:rsidRDefault="00D754B9" w:rsidP="00D754B9">
            <w:pPr>
              <w:spacing w:after="0" w:line="240" w:lineRule="auto"/>
              <w:jc w:val="both"/>
              <w:rPr>
                <w:rFonts w:ascii="Bookman Old Style" w:hAnsi="Bookman Old Style" w:cs="Times New Roman"/>
                <w:lang w:val="en-GB"/>
              </w:rPr>
            </w:pPr>
            <w:r w:rsidRPr="00F02DA5">
              <w:rPr>
                <w:rFonts w:ascii="Bookman Old Style" w:hAnsi="Bookman Old Style" w:cs="Times New Roman"/>
                <w:lang w:val="en-GB"/>
              </w:rPr>
              <w:t xml:space="preserve">E Drejta Tatimore – Tekst Mësimor - Vilma Sharofi </w:t>
            </w:r>
          </w:p>
        </w:tc>
        <w:tc>
          <w:tcPr>
            <w:tcW w:w="2302"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200</w:t>
            </w:r>
          </w:p>
        </w:tc>
        <w:tc>
          <w:tcPr>
            <w:tcW w:w="1255"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300</w:t>
            </w:r>
          </w:p>
        </w:tc>
        <w:tc>
          <w:tcPr>
            <w:tcW w:w="1378" w:type="dxa"/>
            <w:tcBorders>
              <w:left w:val="single" w:sz="4" w:space="0" w:color="auto"/>
            </w:tcBorders>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Buxhet i Shtetit</w:t>
            </w:r>
          </w:p>
        </w:tc>
      </w:tr>
      <w:tr w:rsidR="00D754B9" w:rsidRPr="00F02DA5" w:rsidTr="00D754B9">
        <w:tc>
          <w:tcPr>
            <w:tcW w:w="556"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6</w:t>
            </w:r>
          </w:p>
        </w:tc>
        <w:tc>
          <w:tcPr>
            <w:tcW w:w="3689"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Magjistrati 10</w:t>
            </w:r>
          </w:p>
        </w:tc>
        <w:tc>
          <w:tcPr>
            <w:tcW w:w="2302"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200</w:t>
            </w:r>
          </w:p>
        </w:tc>
        <w:tc>
          <w:tcPr>
            <w:tcW w:w="1255"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300</w:t>
            </w:r>
          </w:p>
        </w:tc>
        <w:tc>
          <w:tcPr>
            <w:tcW w:w="1378" w:type="dxa"/>
            <w:tcBorders>
              <w:left w:val="single" w:sz="4" w:space="0" w:color="auto"/>
            </w:tcBorders>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Buxhet i Shtetit</w:t>
            </w:r>
          </w:p>
        </w:tc>
      </w:tr>
      <w:tr w:rsidR="00D754B9" w:rsidRPr="00F02DA5" w:rsidTr="00D754B9">
        <w:tc>
          <w:tcPr>
            <w:tcW w:w="556"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7</w:t>
            </w:r>
          </w:p>
        </w:tc>
        <w:tc>
          <w:tcPr>
            <w:tcW w:w="3689"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Magjistrati 11</w:t>
            </w:r>
          </w:p>
        </w:tc>
        <w:tc>
          <w:tcPr>
            <w:tcW w:w="2302"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200</w:t>
            </w:r>
          </w:p>
        </w:tc>
        <w:tc>
          <w:tcPr>
            <w:tcW w:w="1255"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300</w:t>
            </w:r>
          </w:p>
        </w:tc>
        <w:tc>
          <w:tcPr>
            <w:tcW w:w="1378" w:type="dxa"/>
            <w:tcBorders>
              <w:left w:val="single" w:sz="4" w:space="0" w:color="auto"/>
            </w:tcBorders>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Buxhet i Shtetit</w:t>
            </w:r>
          </w:p>
        </w:tc>
      </w:tr>
      <w:tr w:rsidR="00D754B9" w:rsidRPr="00F02DA5" w:rsidTr="00D754B9">
        <w:tc>
          <w:tcPr>
            <w:tcW w:w="556"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8</w:t>
            </w:r>
          </w:p>
        </w:tc>
        <w:tc>
          <w:tcPr>
            <w:tcW w:w="3689"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Koment mbi Kodin e Procedurës Penale – Pjesa II-të, Dhimiter Lara</w:t>
            </w:r>
          </w:p>
        </w:tc>
        <w:tc>
          <w:tcPr>
            <w:tcW w:w="2302"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200</w:t>
            </w:r>
          </w:p>
        </w:tc>
        <w:tc>
          <w:tcPr>
            <w:tcW w:w="1255"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300</w:t>
            </w:r>
          </w:p>
        </w:tc>
        <w:tc>
          <w:tcPr>
            <w:tcW w:w="1378" w:type="dxa"/>
            <w:tcBorders>
              <w:left w:val="single" w:sz="4" w:space="0" w:color="auto"/>
            </w:tcBorders>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Buxhet i Shtetit</w:t>
            </w:r>
          </w:p>
        </w:tc>
      </w:tr>
      <w:tr w:rsidR="00D754B9" w:rsidRPr="00F02DA5" w:rsidTr="00D754B9">
        <w:tc>
          <w:tcPr>
            <w:tcW w:w="556"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9</w:t>
            </w:r>
          </w:p>
        </w:tc>
        <w:tc>
          <w:tcPr>
            <w:tcW w:w="3689"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Botimi i Ligjve Shqiptare në vite</w:t>
            </w:r>
          </w:p>
        </w:tc>
        <w:tc>
          <w:tcPr>
            <w:tcW w:w="2302" w:type="dxa"/>
          </w:tcPr>
          <w:p w:rsidR="00D754B9" w:rsidRPr="00F02DA5" w:rsidRDefault="00D754B9" w:rsidP="00D754B9">
            <w:pPr>
              <w:spacing w:after="0" w:line="240" w:lineRule="auto"/>
              <w:rPr>
                <w:rFonts w:ascii="Bookman Old Style" w:hAnsi="Bookman Old Style" w:cs="Times New Roman"/>
                <w:lang w:val="en-GB"/>
              </w:rPr>
            </w:pPr>
          </w:p>
        </w:tc>
        <w:tc>
          <w:tcPr>
            <w:tcW w:w="1255" w:type="dxa"/>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300</w:t>
            </w:r>
          </w:p>
        </w:tc>
        <w:tc>
          <w:tcPr>
            <w:tcW w:w="1378" w:type="dxa"/>
            <w:tcBorders>
              <w:left w:val="single" w:sz="4" w:space="0" w:color="auto"/>
            </w:tcBorders>
          </w:tcPr>
          <w:p w:rsidR="00D754B9" w:rsidRPr="00F02DA5" w:rsidRDefault="00D754B9" w:rsidP="00D754B9">
            <w:pPr>
              <w:spacing w:after="0" w:line="240" w:lineRule="auto"/>
              <w:rPr>
                <w:rFonts w:ascii="Bookman Old Style" w:hAnsi="Bookman Old Style" w:cs="Times New Roman"/>
                <w:lang w:val="en-GB"/>
              </w:rPr>
            </w:pPr>
            <w:r w:rsidRPr="00F02DA5">
              <w:rPr>
                <w:rFonts w:ascii="Bookman Old Style" w:hAnsi="Bookman Old Style" w:cs="Times New Roman"/>
                <w:lang w:val="en-GB"/>
              </w:rPr>
              <w:t>Euralius</w:t>
            </w:r>
          </w:p>
        </w:tc>
      </w:tr>
    </w:tbl>
    <w:p w:rsidR="00D754B9" w:rsidRPr="00F02DA5" w:rsidRDefault="00D754B9" w:rsidP="00D754B9">
      <w:pPr>
        <w:jc w:val="both"/>
        <w:rPr>
          <w:rFonts w:ascii="Bookman Old Style" w:hAnsi="Bookman Old Style" w:cs="Times New Roman"/>
          <w:b/>
          <w:color w:val="000000"/>
          <w:lang w:val="en-GB"/>
        </w:rPr>
      </w:pPr>
    </w:p>
    <w:p w:rsidR="00D754B9" w:rsidRDefault="00D754B9" w:rsidP="00D754B9">
      <w:pPr>
        <w:jc w:val="both"/>
        <w:rPr>
          <w:rFonts w:ascii="Bookman Old Style" w:hAnsi="Bookman Old Style" w:cs="Times New Roman"/>
          <w:lang w:val="en-GB"/>
        </w:rPr>
      </w:pPr>
      <w:r w:rsidRPr="00F02DA5">
        <w:rPr>
          <w:rFonts w:ascii="Bookman Old Style" w:hAnsi="Bookman Old Style" w:cs="Times New Roman"/>
          <w:lang w:val="en-GB"/>
        </w:rPr>
        <w:lastRenderedPageBreak/>
        <w:t xml:space="preserve">Në lidhje me </w:t>
      </w:r>
      <w:r w:rsidRPr="00F02DA5">
        <w:rPr>
          <w:rFonts w:ascii="Bookman Old Style" w:hAnsi="Bookman Old Style" w:cs="Times New Roman"/>
          <w:lang w:val="it-IT"/>
        </w:rPr>
        <w:t xml:space="preserve">përmirësimin e vazhdueshëm të bibliotekës, e cila është thelbësore për magjistratët që kryejnë Formimin Fillestar dhe Vazhdues, si edhe qenien e një burimi për të diplomuarit (në rastin tonë për gjyqtarët dhe prokurorët), gjatë vitit akademik 2015-2016 janë blerë rreth...tituj libra nga fusha të ndryshme të të jursipudencës dhe Shkolla e Magjistraturës është pjesë e rrjetit të bibliotekave  rajonale </w:t>
      </w:r>
      <w:r w:rsidRPr="00F02DA5">
        <w:rPr>
          <w:rFonts w:ascii="Bookman Old Style" w:hAnsi="Bookman Old Style" w:cs="Times New Roman"/>
          <w:lang w:val="en-GB"/>
        </w:rPr>
        <w:t>COBISS.net. Ky është një sistem i përbashkët bibliografik për vlerësimin e rezultateve të kërkimit në Shqipëri dhe rajon i ndërtuar në vitin 2012. Ky system shërben edhe si bazë për sistemin e ardhshëm të informacionit të bibliotekave në Shqipëri brenda rrjetit COBISS.Net, me kusht që të gjitha bibliotekat e rëndësishme shqiptare të zgjedhin dhe të miratojnë atë si sistemin e tyre të informacionit bibliotekar.</w:t>
      </w:r>
    </w:p>
    <w:p w:rsidR="005D459F" w:rsidRPr="00F02DA5" w:rsidRDefault="005D459F" w:rsidP="00D754B9">
      <w:pPr>
        <w:jc w:val="both"/>
        <w:rPr>
          <w:rFonts w:ascii="Bookman Old Style" w:hAnsi="Bookman Old Style" w:cs="Times New Roman"/>
          <w:lang w:val="en-GB"/>
        </w:rPr>
      </w:pPr>
    </w:p>
    <w:p w:rsidR="00D754B9" w:rsidRPr="00F02DA5" w:rsidRDefault="00D754B9" w:rsidP="00D754B9">
      <w:pPr>
        <w:jc w:val="both"/>
        <w:rPr>
          <w:rFonts w:ascii="Bookman Old Style" w:hAnsi="Bookman Old Style" w:cs="Times New Roman"/>
          <w:lang w:val="en-GB"/>
        </w:rPr>
      </w:pPr>
    </w:p>
    <w:p w:rsidR="00D754B9" w:rsidRPr="00F02DA5"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D754B9">
      <w:pPr>
        <w:rPr>
          <w:rFonts w:ascii="Bookman Old Style" w:hAnsi="Bookman Old Style"/>
        </w:rPr>
      </w:pPr>
    </w:p>
    <w:p w:rsidR="00D754B9" w:rsidRDefault="00D754B9" w:rsidP="002E4C6C">
      <w:pPr>
        <w:rPr>
          <w:rFonts w:ascii="Times New Roman" w:hAnsi="Times New Roman" w:cs="Times New Roman"/>
          <w:sz w:val="24"/>
          <w:szCs w:val="24"/>
        </w:rPr>
      </w:pPr>
    </w:p>
    <w:p w:rsidR="005D459F" w:rsidRPr="005D459F" w:rsidRDefault="005D459F" w:rsidP="005D459F">
      <w:pPr>
        <w:autoSpaceDE w:val="0"/>
        <w:autoSpaceDN w:val="0"/>
        <w:adjustRightInd w:val="0"/>
        <w:jc w:val="both"/>
        <w:rPr>
          <w:rFonts w:ascii="Bookman Old Style" w:hAnsi="Bookman Old Style"/>
          <w:b/>
          <w:color w:val="533466" w:themeColor="accent6" w:themeShade="80"/>
          <w:sz w:val="32"/>
          <w:szCs w:val="32"/>
          <w:u w:color="333399"/>
        </w:rPr>
      </w:pPr>
      <w:r>
        <w:rPr>
          <w:rFonts w:ascii="Bookman Old Style" w:hAnsi="Bookman Old Style"/>
          <w:b/>
          <w:color w:val="533466" w:themeColor="accent6" w:themeShade="80"/>
          <w:sz w:val="32"/>
          <w:szCs w:val="32"/>
          <w:u w:color="333399"/>
        </w:rPr>
        <w:lastRenderedPageBreak/>
        <w:t xml:space="preserve">4. </w:t>
      </w:r>
      <w:r w:rsidRPr="005D459F">
        <w:rPr>
          <w:rFonts w:ascii="Bookman Old Style" w:hAnsi="Bookman Old Style"/>
          <w:b/>
          <w:color w:val="533466" w:themeColor="accent6" w:themeShade="80"/>
          <w:sz w:val="32"/>
          <w:szCs w:val="32"/>
          <w:u w:color="333399"/>
        </w:rPr>
        <w:t>PËRDORIMI I TEKNOLOGJISË SË PËRPARUAR DHE INTERNETIT</w:t>
      </w:r>
    </w:p>
    <w:p w:rsidR="005D459F" w:rsidRPr="005D459F" w:rsidRDefault="005D459F" w:rsidP="005D459F">
      <w:pPr>
        <w:jc w:val="both"/>
        <w:rPr>
          <w:rFonts w:ascii="Bookman Old Style" w:hAnsi="Bookman Old Style"/>
          <w:b/>
          <w:bCs/>
          <w:color w:val="372971" w:themeColor="accent5" w:themeShade="80"/>
          <w:sz w:val="24"/>
          <w:szCs w:val="24"/>
        </w:rPr>
      </w:pPr>
      <w:r>
        <w:rPr>
          <w:rFonts w:ascii="Bookman Old Style" w:hAnsi="Bookman Old Style"/>
          <w:b/>
          <w:bCs/>
          <w:color w:val="372971" w:themeColor="accent5" w:themeShade="80"/>
          <w:sz w:val="24"/>
          <w:szCs w:val="24"/>
        </w:rPr>
        <w:t>4</w:t>
      </w:r>
      <w:r w:rsidRPr="005D459F">
        <w:rPr>
          <w:rFonts w:ascii="Bookman Old Style" w:hAnsi="Bookman Old Style"/>
          <w:b/>
          <w:bCs/>
          <w:color w:val="372971" w:themeColor="accent5" w:themeShade="80"/>
          <w:sz w:val="24"/>
          <w:szCs w:val="24"/>
        </w:rPr>
        <w:t>.1. Interneti</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Interneti është rrjet i rrjeteve që përmban miliona pjesëza të vogla rrjetesh rajonale, akademike, të biznesit e qeveritare, të cilat në vete, përmbajnë informata dhe shërbime të ndryshme, siç janë posta elektronike, format e kontaktit, transferuesit e skedarëve dhe dokumentet e tjera nga e gjithë bota.</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Si institucionet e tjera, edhe Shkolla e Magjistraturës ka siguruar akses në internet dhe gjithashtu ka faqen e saj zyrtare me adresë:</w:t>
      </w:r>
    </w:p>
    <w:p w:rsidR="005D459F" w:rsidRPr="005D459F" w:rsidRDefault="004F065D" w:rsidP="005D459F">
      <w:pPr>
        <w:spacing w:after="160"/>
        <w:ind w:left="2160" w:firstLine="720"/>
        <w:rPr>
          <w:rFonts w:ascii="Bookman Old Style" w:hAnsi="Bookman Old Style" w:cs="Times New Roman"/>
          <w:b/>
          <w:color w:val="7D4D98" w:themeColor="accent6" w:themeShade="BF"/>
          <w:szCs w:val="20"/>
        </w:rPr>
      </w:pPr>
      <w:hyperlink r:id="rId42" w:history="1">
        <w:r w:rsidR="005D459F" w:rsidRPr="005D459F">
          <w:rPr>
            <w:rFonts w:ascii="Bookman Old Style" w:eastAsia="MS Mincho" w:hAnsi="Bookman Old Style" w:cs="Times New Roman"/>
            <w:b/>
            <w:color w:val="7D4D98" w:themeColor="accent6" w:themeShade="BF"/>
            <w:szCs w:val="20"/>
            <w:u w:val="single"/>
          </w:rPr>
          <w:t>www.magjistratura.edu.al</w:t>
        </w:r>
      </w:hyperlink>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Aksesi në internet është një kërkesë e domosdoshme e institucionit tonë pasi nëpërmjet tij bëhet e mundur dhënia dhe marrja e informacioneve për funksionimin në vazhdimësi të veprimtarisë së Shkollës.</w:t>
      </w:r>
    </w:p>
    <w:p w:rsidR="005D459F" w:rsidRPr="00F02DA5" w:rsidRDefault="005D459F" w:rsidP="005D459F">
      <w:pPr>
        <w:spacing w:after="160"/>
        <w:jc w:val="both"/>
        <w:rPr>
          <w:rFonts w:ascii="Bookman Old Style" w:hAnsi="Bookman Old Style" w:cs="Times New Roman"/>
          <w:szCs w:val="20"/>
        </w:rPr>
      </w:pPr>
      <w:r w:rsidRPr="00F02DA5">
        <w:rPr>
          <w:rFonts w:ascii="Bookman Old Style" w:hAnsi="Bookman Old Style" w:cs="Times New Roman"/>
          <w:szCs w:val="20"/>
        </w:rPr>
        <w:t>Shpejtësia e internetit është 30 Mbps me një infrastrukturë të fibrës optike. Kjo ka përmirësuar shpejtësinë e marrjes dhe të hedhjes së të dhënave të kërkuara. Lidhja mbështetëse realizohet me radio link (10 Mbps). Shkolla ka një MailServer të administrueshëm lokalisht me 50 adresa email-i me 50 Gb për secilin dhe me 5 grupe e-mail.</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 xml:space="preserve">Gjithashtu është siguruar aksesi wireless i internetit në të gjithë institucionin. Kjo bën të mundur aksesimin e internetit me laptop në klasën e studentëve dhe </w:t>
      </w:r>
      <w:r w:rsidRPr="00CE5823">
        <w:rPr>
          <w:rFonts w:ascii="Bookman Old Style" w:hAnsi="Bookman Old Style" w:cs="Times New Roman"/>
          <w:color w:val="262626"/>
          <w:szCs w:val="20"/>
        </w:rPr>
        <w:t>sallën e konferencave</w:t>
      </w:r>
      <w:r w:rsidRPr="00CE5823">
        <w:rPr>
          <w:rFonts w:ascii="Bookman Old Style" w:hAnsi="Bookman Old Style" w:cs="Times New Roman"/>
          <w:color w:val="000000"/>
          <w:szCs w:val="20"/>
        </w:rPr>
        <w:t>pa pasur nevojën për lidhje direkte me kabull rrjeti.</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Faqja e internetit është mirëmbajtur në mënyre të vazhdueshme në përmbajtje dhe në dizenjim.</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Në faqen e Internetit janë të paraqitura informacione të ndryshme që i vijnë në ndihmë çdo përdoruesi duke filluar me ligjin e Shkollës së Magjistraturës, një prezantim të përmbledhur për Shkollën tek rubrika “Rreth nesh”, rregulloren e Shkollës, programet mësimore, raportet vjetore, përbërjen e Këshillit Drejtues, materialet më të rëndësishme të aktiviteteve që organizohen në Shkollën e Magjistraturës, programin e trajnimit të vazhduar se bashku me një kalendar vjetor me datat e seminareve, informacion në lidhje me Konkursin që zhvillohet në Shkollën e Magjistraturës për prokurorë dhe gjyqtarë, mënyra e organizimit të konkursit, programin e konkursit, rezultatet përfundimtare si dhe emërimet e kandidateve për magjistratë që nga brezi i parë që ka mbaruar në këtë Shkollë, përmbledhje të temave të punuara nga studentët”, të dhëna për Botimet dhe për revistën Jeta Juridike që nxjerr shkolla, të dhëna për projektet te zhvilluara me partnerët ndërkombëtar, arkiva në të cilën hidhen vendimet e Këshillit Drejtues në vite.</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Në faqen e internetit janë hedhur konventa të OKB-së, të Këshillit të Evropës, të Hagës dhe marrëveshjet dypalëshe.</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lastRenderedPageBreak/>
        <w:t>Të gjitha këto materiale rinovohen herë pas here me informacione të reja nga zhvillimi i aktivitetit të Shkollës. Informacionet gjenden në gjuhën Shqip dhe Anglisht.</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 xml:space="preserve">Në faqen e Shkollës është një rubrikë me emrin “Aktiviteti i Fundit“, në të cilën ka </w:t>
      </w:r>
      <w:r w:rsidRPr="00CE5823">
        <w:rPr>
          <w:rFonts w:ascii="Bookman Old Style" w:hAnsi="Bookman Old Style" w:cs="Arial"/>
          <w:color w:val="000000"/>
          <w:szCs w:val="20"/>
        </w:rPr>
        <w:t>aktivitete dhe vizita studimore ndërkombëtare pranë institucioneve, gjykatave dhe organeve të drejtësisë të vendeve të Bashkimit Evropian</w:t>
      </w:r>
      <w:r w:rsidRPr="00CE5823">
        <w:rPr>
          <w:rFonts w:ascii="Bookman Old Style" w:hAnsi="Bookman Old Style" w:cs="Times New Roman"/>
          <w:color w:val="000000"/>
          <w:szCs w:val="20"/>
        </w:rPr>
        <w:t xml:space="preserve">, gjatë të cilave merret dhe shkëmbehet eksperiencë profesionale dhe informacion lidhur me shkollat e magjistraturës të atyre vendeve. </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Gjithashtu në këtë faqe ndodhet dhe një rubrikë në të cilën hidhet tabela e përmbajtjes së Revistave Juridike të botuara nga Shkolla.</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Në faqe është një rubrikë  me emrin “Regjistrim për të marr pjesë në trajnime” në të cilën mund të bëhet regjistrimi i pjesëmarrësve në trajnimet që ata duan të marrin pjesë.</w:t>
      </w:r>
    </w:p>
    <w:p w:rsidR="005D459F" w:rsidRPr="00221E03" w:rsidRDefault="005D459F" w:rsidP="00221E03">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 xml:space="preserve">Në fund të faqes është vendosur një rubrikë ‘Njoftime’ në të cilën hidhen njoftimet më të fundit ose informacionet që duhen vënë në dukje, </w:t>
      </w:r>
      <w:r w:rsidRPr="00F02DA5">
        <w:rPr>
          <w:rFonts w:ascii="Bookman Old Style" w:hAnsi="Bookman Old Style" w:cs="Times New Roman"/>
          <w:szCs w:val="20"/>
        </w:rPr>
        <w:t>më pas këto njoftime sëbashku me aktivitet arkivohen tek rubrika “Arkiva</w:t>
      </w:r>
      <w:r w:rsidRPr="00CE5823">
        <w:rPr>
          <w:rFonts w:ascii="Bookman Old Style" w:hAnsi="Bookman Old Style" w:cs="Times New Roman"/>
          <w:color w:val="000000"/>
          <w:szCs w:val="20"/>
        </w:rPr>
        <w:t>”.</w:t>
      </w:r>
    </w:p>
    <w:p w:rsidR="005D459F" w:rsidRPr="005D459F" w:rsidRDefault="005D459F" w:rsidP="005D459F">
      <w:pPr>
        <w:jc w:val="both"/>
        <w:rPr>
          <w:rFonts w:ascii="Bookman Old Style" w:hAnsi="Bookman Old Style"/>
          <w:b/>
          <w:bCs/>
          <w:color w:val="372971" w:themeColor="accent5" w:themeShade="80"/>
          <w:sz w:val="24"/>
          <w:szCs w:val="24"/>
        </w:rPr>
      </w:pPr>
      <w:r>
        <w:rPr>
          <w:rFonts w:ascii="Bookman Old Style" w:hAnsi="Bookman Old Style"/>
          <w:b/>
          <w:bCs/>
          <w:color w:val="372971" w:themeColor="accent5" w:themeShade="80"/>
          <w:sz w:val="24"/>
          <w:szCs w:val="24"/>
        </w:rPr>
        <w:t>4</w:t>
      </w:r>
      <w:r w:rsidRPr="005D459F">
        <w:rPr>
          <w:rFonts w:ascii="Bookman Old Style" w:hAnsi="Bookman Old Style"/>
          <w:b/>
          <w:bCs/>
          <w:color w:val="372971" w:themeColor="accent5" w:themeShade="80"/>
          <w:sz w:val="24"/>
          <w:szCs w:val="24"/>
        </w:rPr>
        <w:t>.2 Programet Aplikative dhe Web</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 Për të lehtësuar punën e kërkimit të librave në bibliotekë studentëve u është siguruar një platformë e quajtur COBISS, e cila është një databazë e integruar për katalogim të fondit të bibliotekës sipas standarteve botërore të përshkrimit bibliografik. Kjo databazë është e përhapur në të gjithë Europën Lindore. Linkun e kësaj platforme e gjejnë në rubrikën “Biblioteka” – fondi i bibliotekës, tek faqja e shkollës.</w:t>
      </w:r>
    </w:p>
    <w:p w:rsidR="00221E0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 Po ashtu, në bashkëpunim me Projektin Just (USAID), Shkolla ka në përdorim një aplikacion në web (databazë me indekse), që ka si qëllim regjistrimin dhe kërkimin e vendimeve unifikuese të Kolegjeve të Bashkuara të Gjykatës së Lartë, e cila update-ohet vazhdimisht me vendimet e reja.</w:t>
      </w:r>
    </w:p>
    <w:p w:rsidR="00221E03" w:rsidRDefault="008633F3" w:rsidP="005D459F">
      <w:pPr>
        <w:spacing w:after="160"/>
        <w:jc w:val="both"/>
        <w:rPr>
          <w:rFonts w:ascii="Bookman Old Style" w:hAnsi="Bookman Old Style" w:cs="Times New Roman"/>
          <w:color w:val="000000"/>
          <w:szCs w:val="20"/>
        </w:rPr>
      </w:pPr>
      <w:r>
        <w:rPr>
          <w:rFonts w:ascii="Bookman Old Style" w:hAnsi="Bookman Old Style" w:cs="Times New Roman"/>
          <w:color w:val="000000"/>
          <w:szCs w:val="20"/>
        </w:rPr>
        <w:t xml:space="preserve">                       </w:t>
      </w:r>
      <w:r w:rsidR="00221E03" w:rsidRPr="00221E03">
        <w:rPr>
          <w:rFonts w:ascii="Bookman Old Style" w:hAnsi="Bookman Old Style" w:cs="Times New Roman"/>
          <w:noProof/>
          <w:color w:val="000000"/>
          <w:szCs w:val="20"/>
          <w:lang w:val="en-GB" w:eastAsia="en-GB"/>
        </w:rPr>
        <w:drawing>
          <wp:inline distT="0" distB="0" distL="0" distR="0">
            <wp:extent cx="4610100" cy="2905125"/>
            <wp:effectExtent l="19050" t="0" r="0" b="0"/>
            <wp:docPr id="14" name="Picture 4" descr="Description: J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Just"/>
                    <pic:cNvPicPr>
                      <a:picLocks noChangeAspect="1" noChangeArrowheads="1"/>
                    </pic:cNvPicPr>
                  </pic:nvPicPr>
                  <pic:blipFill>
                    <a:blip r:embed="rId43"/>
                    <a:srcRect/>
                    <a:stretch>
                      <a:fillRect/>
                    </a:stretch>
                  </pic:blipFill>
                  <pic:spPr bwMode="auto">
                    <a:xfrm>
                      <a:off x="0" y="0"/>
                      <a:ext cx="4610100" cy="2905125"/>
                    </a:xfrm>
                    <a:prstGeom prst="rect">
                      <a:avLst/>
                    </a:prstGeom>
                    <a:noFill/>
                    <a:ln w="9525">
                      <a:noFill/>
                      <a:miter lim="800000"/>
                      <a:headEnd/>
                      <a:tailEnd/>
                    </a:ln>
                  </pic:spPr>
                </pic:pic>
              </a:graphicData>
            </a:graphic>
          </wp:inline>
        </w:drawing>
      </w:r>
    </w:p>
    <w:p w:rsidR="00221E03" w:rsidRPr="00CE5823" w:rsidRDefault="00221E03" w:rsidP="005D459F">
      <w:pPr>
        <w:spacing w:after="160"/>
        <w:jc w:val="both"/>
        <w:rPr>
          <w:rFonts w:ascii="Bookman Old Style" w:hAnsi="Bookman Old Style" w:cs="Times New Roman"/>
          <w:color w:val="000000"/>
          <w:szCs w:val="20"/>
        </w:rPr>
      </w:pPr>
    </w:p>
    <w:p w:rsidR="005D459F" w:rsidRPr="00CE5823" w:rsidRDefault="005D459F" w:rsidP="005D459F">
      <w:pPr>
        <w:spacing w:after="160"/>
        <w:jc w:val="both"/>
        <w:rPr>
          <w:rFonts w:ascii="Bookman Old Style" w:hAnsi="Bookman Old Style" w:cs="Times New Roman"/>
          <w:color w:val="FF0000"/>
          <w:szCs w:val="20"/>
        </w:rPr>
      </w:pPr>
      <w:r w:rsidRPr="00CE5823">
        <w:rPr>
          <w:rFonts w:ascii="Bookman Old Style" w:hAnsi="Bookman Old Style" w:cs="Times New Roman"/>
          <w:color w:val="000000"/>
          <w:szCs w:val="20"/>
        </w:rPr>
        <w:t xml:space="preserve">- </w:t>
      </w:r>
      <w:r w:rsidRPr="00F02DA5">
        <w:rPr>
          <w:rFonts w:ascii="Bookman Old Style" w:hAnsi="Bookman Old Style" w:cs="Times New Roman"/>
          <w:szCs w:val="20"/>
        </w:rPr>
        <w:t xml:space="preserve">Përvec këtyre Shkolla e Magjistraturës në </w:t>
      </w:r>
      <w:r w:rsidRPr="00F02DA5">
        <w:rPr>
          <w:rFonts w:ascii="Bookman Old Style" w:hAnsi="Bookman Old Style" w:cs="Helvetica"/>
          <w:sz w:val="21"/>
          <w:szCs w:val="21"/>
          <w:shd w:val="clear" w:color="auto" w:fill="FFFFFF"/>
        </w:rPr>
        <w:t>kuadër të projektit që po zhvillohet nga Komiteti Holandez i Helsinkit në bashkëpunim me Institutin e Trajnimit Gjyqësor Holandez “Promovimi i një Qasjeje me në Fokus Viktimën në Cështjet e Trafikimit të Qënieve Njerëzore</w:t>
      </w:r>
      <w:r w:rsidRPr="00F02DA5">
        <w:rPr>
          <w:rFonts w:ascii="Bookman Old Style" w:hAnsi="Bookman Old Style" w:cs="Times New Roman"/>
          <w:szCs w:val="20"/>
        </w:rPr>
        <w:t>” ka marrë në përdorim një sistem open-source të quajtur Moodle, e cila përvec rolit që do luaj si një databasë për ruajtjen e të dhënave për formimin fillestar dhe të vazhduar do të krijojë mundesinë dhe të një trajnimi në distancë dhe bashkëkohor të gjyqtarëve dhe prokurorëve duke shkëmbyer eksperienca dhe informacione të ndërsjellta në lidhje me legjislacionin e vendit tonë dhe më tej me prespektivën e krijimit të një rrjeti të gjerë online përfshirë edhe Shkollat e Magjistraturës së vendeve të tjera. Platforma Moodle ofron shumë opsione, të cilat lehtësojnë proceset e punës që deri më parë bëheshin manualisht, si pwr shwmbull certifikatat, raportet, konfirmimet etj.</w:t>
      </w:r>
    </w:p>
    <w:p w:rsidR="005D459F" w:rsidRPr="00CE5823" w:rsidRDefault="008633F3" w:rsidP="005D459F">
      <w:pPr>
        <w:spacing w:after="160"/>
        <w:jc w:val="both"/>
        <w:rPr>
          <w:rFonts w:ascii="Bookman Old Style" w:hAnsi="Bookman Old Style" w:cs="Times New Roman"/>
          <w:b/>
          <w:color w:val="2E74B5"/>
          <w:szCs w:val="20"/>
          <w:u w:val="single"/>
        </w:rPr>
      </w:pPr>
      <w:r w:rsidRPr="008633F3">
        <w:rPr>
          <w:rFonts w:ascii="Bookman Old Style" w:hAnsi="Bookman Old Style" w:cs="Times New Roman"/>
          <w:b/>
          <w:color w:val="2E74B5"/>
          <w:szCs w:val="20"/>
        </w:rPr>
        <w:t xml:space="preserve">             </w:t>
      </w:r>
      <w:r w:rsidR="005D459F">
        <w:rPr>
          <w:rFonts w:ascii="Bookman Old Style" w:hAnsi="Bookman Old Style" w:cs="Times New Roman"/>
          <w:b/>
          <w:noProof/>
          <w:color w:val="2E74B5"/>
          <w:szCs w:val="20"/>
          <w:u w:val="single"/>
          <w:lang w:val="en-GB" w:eastAsia="en-GB"/>
        </w:rPr>
        <w:drawing>
          <wp:inline distT="0" distB="0" distL="0" distR="0">
            <wp:extent cx="5934075" cy="3286125"/>
            <wp:effectExtent l="19050" t="0" r="9525" b="0"/>
            <wp:docPr id="184" name="Picture 2" descr="C:\Users\Iris\Desktop\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s\Desktop\image001.png"/>
                    <pic:cNvPicPr>
                      <a:picLocks noChangeAspect="1" noChangeArrowheads="1"/>
                    </pic:cNvPicPr>
                  </pic:nvPicPr>
                  <pic:blipFill>
                    <a:blip r:embed="rId44"/>
                    <a:srcRect b="30991"/>
                    <a:stretch>
                      <a:fillRect/>
                    </a:stretch>
                  </pic:blipFill>
                  <pic:spPr bwMode="auto">
                    <a:xfrm>
                      <a:off x="0" y="0"/>
                      <a:ext cx="5934075" cy="3286125"/>
                    </a:xfrm>
                    <a:prstGeom prst="rect">
                      <a:avLst/>
                    </a:prstGeom>
                    <a:noFill/>
                    <a:ln w="9525">
                      <a:noFill/>
                      <a:miter lim="800000"/>
                      <a:headEnd/>
                      <a:tailEnd/>
                    </a:ln>
                  </pic:spPr>
                </pic:pic>
              </a:graphicData>
            </a:graphic>
          </wp:inline>
        </w:drawing>
      </w:r>
    </w:p>
    <w:p w:rsidR="005D459F" w:rsidRPr="00CE5823" w:rsidRDefault="005D459F" w:rsidP="005D459F">
      <w:pPr>
        <w:spacing w:after="15"/>
        <w:jc w:val="both"/>
        <w:rPr>
          <w:rFonts w:ascii="Bookman Old Style" w:hAnsi="Bookman Old Style" w:cs="Arial"/>
          <w:color w:val="000000"/>
          <w:szCs w:val="20"/>
          <w:lang w:eastAsia="sq-AL"/>
        </w:rPr>
      </w:pPr>
    </w:p>
    <w:p w:rsidR="005D459F" w:rsidRPr="00F02DA5" w:rsidRDefault="005D459F" w:rsidP="005D459F">
      <w:pPr>
        <w:spacing w:after="15"/>
        <w:jc w:val="both"/>
        <w:rPr>
          <w:rFonts w:ascii="Bookman Old Style" w:hAnsi="Bookman Old Style" w:cs="Arial"/>
          <w:szCs w:val="20"/>
          <w:lang w:eastAsia="sq-AL"/>
        </w:rPr>
      </w:pPr>
      <w:r w:rsidRPr="00F02DA5">
        <w:rPr>
          <w:rFonts w:ascii="Bookman Old Style" w:hAnsi="Bookman Old Style" w:cs="Arial"/>
          <w:szCs w:val="20"/>
          <w:lang w:eastAsia="sq-AL"/>
        </w:rPr>
        <w:t>Krijimi i këtij portali vjen si një ndihmë dhe kontribut tjetër i Shkollës së Magjistraturës përgjyqtarë e prokurorë, profesionistë ligjorë, ekspertë, lehtësues, dhe moderatorë.</w:t>
      </w:r>
    </w:p>
    <w:p w:rsidR="005D459F" w:rsidRPr="00F02DA5" w:rsidRDefault="005D459F" w:rsidP="005D459F">
      <w:pPr>
        <w:spacing w:after="15"/>
        <w:jc w:val="both"/>
        <w:rPr>
          <w:rFonts w:ascii="Bookman Old Style" w:hAnsi="Bookman Old Style" w:cs="Arial"/>
          <w:szCs w:val="20"/>
          <w:lang w:eastAsia="sq-AL"/>
        </w:rPr>
      </w:pPr>
    </w:p>
    <w:p w:rsidR="005D459F" w:rsidRPr="005D459F" w:rsidRDefault="005D459F" w:rsidP="005D459F">
      <w:pPr>
        <w:spacing w:after="160"/>
        <w:jc w:val="both"/>
        <w:rPr>
          <w:rFonts w:ascii="Bookman Old Style" w:hAnsi="Bookman Old Style" w:cs="Times New Roman"/>
          <w:color w:val="FF0000"/>
          <w:szCs w:val="20"/>
        </w:rPr>
      </w:pPr>
      <w:r w:rsidRPr="00F02DA5">
        <w:rPr>
          <w:rFonts w:ascii="Bookman Old Style" w:hAnsi="Bookman Old Style" w:cs="Times New Roman"/>
          <w:szCs w:val="20"/>
        </w:rPr>
        <w:t>Puna për regjistrimin e të dhënave në këtë proces do të realizohet nga stafi i brendshëm i Shkollës, pjesë e sektorëve përkatës të formimit fillestar e vazhdues, si dhe nga secili user perdorimi që do të ketë role të ve</w:t>
      </w:r>
      <w:r w:rsidRPr="00F02DA5">
        <w:rPr>
          <w:rFonts w:ascii="Times New Roman" w:hAnsi="Times New Roman" w:cs="Times New Roman"/>
          <w:szCs w:val="20"/>
        </w:rPr>
        <w:t>ç</w:t>
      </w:r>
      <w:r w:rsidRPr="00F02DA5">
        <w:rPr>
          <w:rFonts w:ascii="Bookman Old Style" w:hAnsi="Bookman Old Style" w:cs="Times New Roman"/>
          <w:szCs w:val="20"/>
        </w:rPr>
        <w:t>anta</w:t>
      </w:r>
      <w:r w:rsidRPr="00CE5823">
        <w:rPr>
          <w:rFonts w:ascii="Bookman Old Style" w:hAnsi="Bookman Old Style" w:cs="Times New Roman"/>
          <w:color w:val="FF0000"/>
          <w:szCs w:val="20"/>
        </w:rPr>
        <w:t>.</w:t>
      </w:r>
    </w:p>
    <w:p w:rsidR="005D459F" w:rsidRPr="005D459F" w:rsidRDefault="005D459F" w:rsidP="005D459F">
      <w:pPr>
        <w:jc w:val="both"/>
        <w:rPr>
          <w:rFonts w:ascii="Bookman Old Style" w:hAnsi="Bookman Old Style"/>
          <w:b/>
          <w:bCs/>
          <w:color w:val="372971" w:themeColor="accent5" w:themeShade="80"/>
          <w:sz w:val="24"/>
          <w:szCs w:val="24"/>
        </w:rPr>
      </w:pPr>
      <w:r>
        <w:rPr>
          <w:rFonts w:ascii="Bookman Old Style" w:hAnsi="Bookman Old Style"/>
          <w:b/>
          <w:bCs/>
          <w:color w:val="372971" w:themeColor="accent5" w:themeShade="80"/>
          <w:sz w:val="24"/>
          <w:szCs w:val="24"/>
        </w:rPr>
        <w:t>4</w:t>
      </w:r>
      <w:r w:rsidRPr="005D459F">
        <w:rPr>
          <w:rFonts w:ascii="Bookman Old Style" w:hAnsi="Bookman Old Style"/>
          <w:b/>
          <w:bCs/>
          <w:color w:val="372971" w:themeColor="accent5" w:themeShade="80"/>
          <w:sz w:val="24"/>
          <w:szCs w:val="24"/>
        </w:rPr>
        <w:t>.3 Teknologjia</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 xml:space="preserve">- Stafi i institucionit tonë përdor një teknologji të përparuar. Kompjuterat janë të parametrave të larta, me brandname (origjinale). Çdo student </w:t>
      </w:r>
      <w:r w:rsidRPr="00CE5823">
        <w:rPr>
          <w:rFonts w:ascii="Bookman Old Style" w:hAnsi="Bookman Old Style" w:cs="Times New Roman"/>
          <w:color w:val="262626"/>
          <w:szCs w:val="20"/>
          <w:u w:val="single"/>
        </w:rPr>
        <w:t>i vitit të parë</w:t>
      </w:r>
      <w:r w:rsidRPr="00CE5823">
        <w:rPr>
          <w:rFonts w:ascii="Bookman Old Style" w:hAnsi="Bookman Old Style" w:cs="Times New Roman"/>
          <w:color w:val="000000"/>
          <w:szCs w:val="20"/>
        </w:rPr>
        <w:t xml:space="preserve">është i pajisur me laptop, që të </w:t>
      </w:r>
      <w:r w:rsidRPr="00CE5823">
        <w:rPr>
          <w:rFonts w:ascii="Bookman Old Style" w:hAnsi="Bookman Old Style" w:cs="Times New Roman"/>
          <w:color w:val="000000"/>
          <w:szCs w:val="20"/>
        </w:rPr>
        <w:lastRenderedPageBreak/>
        <w:t xml:space="preserve">kenë mundësi të aksesojë internetin me wireless për të shkarkuar ligje ose vendime në klasën ku zhvillohet mësimi. </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 Eshtë siguruar dhe një pajisje e re kompjuterike interactive Whiteboard që ndihmon pedagogët të shkruajnë në ekran dhe të ruajnë në të materialin e shkruar.</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 Ndërsa në sallën e koferencave është bërë zëvendësimi i sistemit të përkthimit dhe të dëgjimit me pajisje të reja bashkohore, për një kapacitet më të madh trajnuesish dhe  për eficencë më të lartë. Përvec kësaj në korridor është vendosur një ekran për shfaqjen live të aktiviteteve që zhvillohen në të dyja sallat e shkollës.</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 Çdo vit kompjuterat formatohen me sisteme shfrytëzimi sipas teknologjisë, psh Siste</w:t>
      </w:r>
      <w:r w:rsidR="00581C05">
        <w:rPr>
          <w:rFonts w:ascii="Bookman Old Style" w:hAnsi="Bookman Old Style" w:cs="Times New Roman"/>
          <w:color w:val="000000"/>
          <w:szCs w:val="20"/>
        </w:rPr>
        <w:t>m Shfrytëzimi të Windows 7 dhe p</w:t>
      </w:r>
      <w:r w:rsidRPr="00CE5823">
        <w:rPr>
          <w:rFonts w:ascii="Bookman Old Style" w:hAnsi="Bookman Old Style" w:cs="Times New Roman"/>
          <w:color w:val="000000"/>
          <w:szCs w:val="20"/>
        </w:rPr>
        <w:t>aketën Office të linçensuar me çelësa të dhuruar nga Microsoft Corporation nëpermjet AKSHI-it.</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Sistemi i shfrytëzimit dhe Paketën Office 2010 ose Office 2013 janë në versione të fundit.</w:t>
      </w:r>
    </w:p>
    <w:p w:rsidR="005D459F" w:rsidRPr="00CE5823" w:rsidRDefault="005D459F" w:rsidP="005D459F">
      <w:p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 Sistemi teknologjik i IT-së është në gjëndje të mirë pune si pasojë e restaurimit të herë pas hershëm  të tij.</w:t>
      </w:r>
    </w:p>
    <w:p w:rsidR="005D459F" w:rsidRPr="00CE5823" w:rsidRDefault="005D459F" w:rsidP="005D459F">
      <w:pPr>
        <w:spacing w:after="160"/>
        <w:jc w:val="both"/>
        <w:rPr>
          <w:rFonts w:ascii="Bookman Old Style" w:hAnsi="Bookman Old Style" w:cs="Times New Roman"/>
          <w:color w:val="000000"/>
          <w:szCs w:val="20"/>
        </w:rPr>
      </w:pPr>
      <w:bookmarkStart w:id="24" w:name="OLE_LINK53"/>
      <w:bookmarkStart w:id="25" w:name="OLE_LINK54"/>
      <w:bookmarkStart w:id="26" w:name="OLE_LINK55"/>
      <w:r w:rsidRPr="00CE5823">
        <w:rPr>
          <w:rFonts w:ascii="Bookman Old Style" w:hAnsi="Bookman Old Style" w:cs="Times New Roman"/>
          <w:color w:val="000000"/>
          <w:szCs w:val="20"/>
        </w:rPr>
        <w:t>Është</w:t>
      </w:r>
      <w:bookmarkEnd w:id="24"/>
      <w:bookmarkEnd w:id="25"/>
      <w:bookmarkEnd w:id="26"/>
      <w:r w:rsidRPr="00CE5823">
        <w:rPr>
          <w:rFonts w:ascii="Bookman Old Style" w:hAnsi="Bookman Old Style" w:cs="Times New Roman"/>
          <w:color w:val="000000"/>
          <w:szCs w:val="20"/>
        </w:rPr>
        <w:t xml:space="preserve"> vendosur çdo kuti interneti Rj45 për çdo kompjuter ne se</w:t>
      </w:r>
      <w:r w:rsidR="00BD38C6">
        <w:rPr>
          <w:rFonts w:ascii="Bookman Old Style" w:hAnsi="Bookman Old Style" w:cs="Times New Roman"/>
          <w:color w:val="000000"/>
          <w:szCs w:val="20"/>
        </w:rPr>
        <w:t xml:space="preserve">cilën zyrë, që të kenë akses n </w:t>
      </w:r>
      <w:r w:rsidRPr="00CE5823">
        <w:rPr>
          <w:rFonts w:ascii="Bookman Old Style" w:hAnsi="Bookman Old Style" w:cs="Times New Roman"/>
          <w:color w:val="000000"/>
          <w:szCs w:val="20"/>
        </w:rPr>
        <w:t>internet. Është vendosur një Rack që mban sëitchet dhe gjithë infrastrukturën e lidhjes se çdo kompjuteri në internet.</w:t>
      </w:r>
    </w:p>
    <w:p w:rsidR="005D459F" w:rsidRDefault="005D459F" w:rsidP="005D459F">
      <w:pPr>
        <w:spacing w:after="160"/>
        <w:jc w:val="both"/>
        <w:rPr>
          <w:rFonts w:ascii="Bookman Old Style" w:hAnsi="Bookman Old Style" w:cs="Times New Roman"/>
          <w:szCs w:val="20"/>
        </w:rPr>
      </w:pPr>
      <w:r w:rsidRPr="00CE5823">
        <w:rPr>
          <w:rFonts w:ascii="Bookman Old Style" w:hAnsi="Bookman Old Style" w:cs="Times New Roman"/>
          <w:color w:val="000000"/>
          <w:szCs w:val="20"/>
        </w:rPr>
        <w:t>-</w:t>
      </w:r>
      <w:r w:rsidRPr="00F02DA5">
        <w:rPr>
          <w:rFonts w:ascii="Bookman Old Style" w:hAnsi="Bookman Old Style" w:cs="Times New Roman"/>
          <w:szCs w:val="20"/>
        </w:rPr>
        <w:t>Ambjentet e brendshme të shkollës survejohen nga 7 Kamera, rregjistrimet e të cilave ruhen ne 1 DVD recorder me hard-disk 4 T.</w:t>
      </w:r>
    </w:p>
    <w:p w:rsidR="005D459F" w:rsidRPr="005D459F" w:rsidRDefault="005D459F" w:rsidP="005D459F">
      <w:pPr>
        <w:spacing w:after="160"/>
        <w:jc w:val="both"/>
        <w:rPr>
          <w:rFonts w:ascii="Bookman Old Style" w:hAnsi="Bookman Old Style" w:cs="Times New Roman"/>
          <w:szCs w:val="20"/>
        </w:rPr>
      </w:pPr>
    </w:p>
    <w:p w:rsidR="005D459F" w:rsidRPr="005D459F" w:rsidRDefault="005D459F" w:rsidP="005D459F">
      <w:pPr>
        <w:jc w:val="both"/>
        <w:rPr>
          <w:rFonts w:ascii="Bookman Old Style" w:hAnsi="Bookman Old Style"/>
          <w:b/>
          <w:bCs/>
          <w:color w:val="372971" w:themeColor="accent5" w:themeShade="80"/>
          <w:sz w:val="24"/>
          <w:szCs w:val="24"/>
        </w:rPr>
      </w:pPr>
      <w:r>
        <w:rPr>
          <w:rFonts w:ascii="Bookman Old Style" w:hAnsi="Bookman Old Style"/>
          <w:b/>
          <w:bCs/>
          <w:color w:val="372971" w:themeColor="accent5" w:themeShade="80"/>
          <w:sz w:val="24"/>
          <w:szCs w:val="24"/>
        </w:rPr>
        <w:t>4</w:t>
      </w:r>
      <w:r w:rsidRPr="005D459F">
        <w:rPr>
          <w:rFonts w:ascii="Bookman Old Style" w:hAnsi="Bookman Old Style"/>
          <w:b/>
          <w:bCs/>
          <w:color w:val="372971" w:themeColor="accent5" w:themeShade="80"/>
          <w:sz w:val="24"/>
          <w:szCs w:val="24"/>
        </w:rPr>
        <w:t>.4 Planifikimi për të ardhmen</w:t>
      </w:r>
    </w:p>
    <w:p w:rsidR="005D459F" w:rsidRPr="00F02DA5" w:rsidRDefault="005D459F" w:rsidP="003C4BF1">
      <w:pPr>
        <w:numPr>
          <w:ilvl w:val="0"/>
          <w:numId w:val="14"/>
        </w:numPr>
        <w:spacing w:after="160"/>
        <w:jc w:val="both"/>
        <w:rPr>
          <w:rFonts w:ascii="Bookman Old Style" w:hAnsi="Bookman Old Style" w:cs="Times New Roman"/>
          <w:szCs w:val="20"/>
        </w:rPr>
      </w:pPr>
      <w:r w:rsidRPr="00CE5823">
        <w:rPr>
          <w:rFonts w:ascii="Bookman Old Style" w:hAnsi="Bookman Old Style" w:cs="Times New Roman"/>
          <w:color w:val="000000"/>
          <w:szCs w:val="20"/>
        </w:rPr>
        <w:t xml:space="preserve">Jemi në proces të ndërtimit të </w:t>
      </w:r>
      <w:r w:rsidRPr="00CE5823">
        <w:rPr>
          <w:rFonts w:ascii="Bookman Old Style" w:hAnsi="Bookman Old Style" w:cs="Times New Roman"/>
          <w:b/>
          <w:color w:val="000000"/>
          <w:szCs w:val="20"/>
        </w:rPr>
        <w:t xml:space="preserve">një forumi me gjyqtarë dhe prokurorë, </w:t>
      </w:r>
      <w:r w:rsidRPr="00CE5823">
        <w:rPr>
          <w:rFonts w:ascii="Bookman Old Style" w:hAnsi="Bookman Old Style" w:cs="Times New Roman"/>
          <w:color w:val="000000"/>
          <w:szCs w:val="20"/>
        </w:rPr>
        <w:t xml:space="preserve">me anë të të cilit do të bëhet e mundur shkëmbimi i informacioneve dhe debateve të shumta nga praktika gjyqësore në fusha të ndryshme të së drejtës, me synim rritjen dhe përmirësimin e nivelit profesional të tyre, si mision kryesor i Shkollës së Magjistraturës. </w:t>
      </w:r>
      <w:r w:rsidRPr="00F02DA5">
        <w:rPr>
          <w:rFonts w:ascii="Bookman Old Style" w:hAnsi="Bookman Old Style" w:cs="Times New Roman"/>
          <w:szCs w:val="20"/>
        </w:rPr>
        <w:t>Ky shërbim mendohet të ofrohet nëpërmjet platformës Moodle.</w:t>
      </w:r>
    </w:p>
    <w:p w:rsidR="005D459F" w:rsidRPr="00CE5823" w:rsidRDefault="005D459F" w:rsidP="005D459F">
      <w:pPr>
        <w:spacing w:after="160"/>
        <w:contextualSpacing/>
        <w:jc w:val="both"/>
        <w:rPr>
          <w:rFonts w:ascii="Bookman Old Style" w:hAnsi="Bookman Old Style" w:cs="Times New Roman"/>
          <w:color w:val="000000"/>
          <w:szCs w:val="20"/>
        </w:rPr>
      </w:pPr>
    </w:p>
    <w:p w:rsidR="005D459F" w:rsidRPr="00CE5823" w:rsidRDefault="00BD38C6" w:rsidP="003C4BF1">
      <w:pPr>
        <w:numPr>
          <w:ilvl w:val="0"/>
          <w:numId w:val="14"/>
        </w:numPr>
        <w:spacing w:after="160"/>
        <w:jc w:val="both"/>
        <w:rPr>
          <w:rFonts w:ascii="Bookman Old Style" w:hAnsi="Bookman Old Style" w:cs="Times New Roman"/>
          <w:color w:val="000000"/>
          <w:szCs w:val="20"/>
        </w:rPr>
      </w:pPr>
      <w:r w:rsidRPr="00CE5823">
        <w:rPr>
          <w:rFonts w:ascii="Bookman Old Style" w:hAnsi="Bookman Old Style" w:cs="Times New Roman"/>
          <w:color w:val="000000"/>
          <w:szCs w:val="20"/>
        </w:rPr>
        <w:t>Është</w:t>
      </w:r>
      <w:r w:rsidR="005D459F" w:rsidRPr="00CE5823">
        <w:rPr>
          <w:rFonts w:ascii="Bookman Old Style" w:hAnsi="Bookman Old Style" w:cs="Times New Roman"/>
          <w:color w:val="000000"/>
          <w:szCs w:val="20"/>
        </w:rPr>
        <w:t xml:space="preserve"> hedhur ideja për </w:t>
      </w:r>
      <w:r w:rsidR="005D459F" w:rsidRPr="00CE5823">
        <w:rPr>
          <w:rFonts w:ascii="Bookman Old Style" w:hAnsi="Bookman Old Style" w:cs="Times New Roman"/>
          <w:b/>
          <w:color w:val="000000"/>
          <w:szCs w:val="20"/>
        </w:rPr>
        <w:t>dixhitalizimin e formatit të librit</w:t>
      </w:r>
      <w:r w:rsidR="005D459F" w:rsidRPr="00CE5823">
        <w:rPr>
          <w:rFonts w:ascii="Bookman Old Style" w:hAnsi="Bookman Old Style" w:cs="Times New Roman"/>
          <w:color w:val="000000"/>
          <w:szCs w:val="20"/>
        </w:rPr>
        <w:t xml:space="preserve"> ( nje pjese e tyre),  që nënkupton  se do të hidhen online ato botime që janë nën të drejtën tonë të autorit dhe që janë prodhim i Shkollës së Magjistraturës, pa cenuar të drejtën e autorit të botimeve të tjera.</w:t>
      </w:r>
    </w:p>
    <w:p w:rsidR="00D754B9" w:rsidRDefault="00D754B9" w:rsidP="002E4C6C">
      <w:pPr>
        <w:rPr>
          <w:rFonts w:ascii="Times New Roman" w:hAnsi="Times New Roman" w:cs="Times New Roman"/>
          <w:sz w:val="24"/>
          <w:szCs w:val="24"/>
        </w:rPr>
      </w:pPr>
    </w:p>
    <w:p w:rsidR="008633F3" w:rsidRPr="00BD38C6" w:rsidRDefault="008633F3" w:rsidP="00BD38C6">
      <w:pPr>
        <w:autoSpaceDE w:val="0"/>
        <w:autoSpaceDN w:val="0"/>
        <w:adjustRightInd w:val="0"/>
        <w:jc w:val="both"/>
        <w:rPr>
          <w:rFonts w:ascii="Bookman Old Style" w:hAnsi="Bookman Old Style"/>
          <w:b/>
          <w:color w:val="533466" w:themeColor="accent6" w:themeShade="80"/>
          <w:sz w:val="32"/>
          <w:szCs w:val="32"/>
          <w:u w:color="333399"/>
        </w:rPr>
      </w:pPr>
    </w:p>
    <w:p w:rsidR="00BD38C6" w:rsidRPr="00BD38C6" w:rsidRDefault="00BD38C6" w:rsidP="00BD38C6">
      <w:pPr>
        <w:rPr>
          <w:rFonts w:ascii="Bookman Old Style" w:hAnsi="Bookman Old Style"/>
          <w:b/>
          <w:color w:val="533466" w:themeColor="accent6" w:themeShade="80"/>
          <w:sz w:val="32"/>
          <w:szCs w:val="32"/>
          <w:u w:color="333399"/>
        </w:rPr>
      </w:pPr>
      <w:r>
        <w:rPr>
          <w:rFonts w:ascii="Bookman Old Style" w:hAnsi="Bookman Old Style"/>
          <w:b/>
          <w:color w:val="533466" w:themeColor="accent6" w:themeShade="80"/>
          <w:sz w:val="32"/>
          <w:szCs w:val="32"/>
          <w:u w:color="333399"/>
        </w:rPr>
        <w:lastRenderedPageBreak/>
        <w:t xml:space="preserve">5. MBËSHTETJA </w:t>
      </w:r>
      <w:r w:rsidRPr="00BD38C6">
        <w:rPr>
          <w:rFonts w:ascii="Bookman Old Style" w:hAnsi="Bookman Old Style"/>
          <w:b/>
          <w:color w:val="533466" w:themeColor="accent6" w:themeShade="80"/>
          <w:sz w:val="32"/>
          <w:szCs w:val="32"/>
          <w:u w:color="333399"/>
        </w:rPr>
        <w:t>FINANCIARE NGA PARTNERËT NDËRKOMBËTARË GJATË VITIT AKADEMIK 2015-2016</w:t>
      </w:r>
    </w:p>
    <w:p w:rsidR="00BD38C6" w:rsidRPr="00BD38C6" w:rsidRDefault="00BD38C6" w:rsidP="00BD38C6">
      <w:pPr>
        <w:jc w:val="both"/>
        <w:rPr>
          <w:rFonts w:ascii="Bookman Old Style" w:hAnsi="Bookman Old Style"/>
          <w:b/>
          <w:bCs/>
          <w:color w:val="372971" w:themeColor="accent5" w:themeShade="80"/>
          <w:sz w:val="24"/>
          <w:szCs w:val="24"/>
        </w:rPr>
      </w:pPr>
      <w:r>
        <w:rPr>
          <w:rFonts w:ascii="Bookman Old Style" w:hAnsi="Bookman Old Style"/>
          <w:b/>
          <w:bCs/>
          <w:color w:val="372971" w:themeColor="accent5" w:themeShade="80"/>
          <w:sz w:val="24"/>
          <w:szCs w:val="24"/>
        </w:rPr>
        <w:t>5</w:t>
      </w:r>
      <w:r w:rsidRPr="00BD38C6">
        <w:rPr>
          <w:rFonts w:ascii="Bookman Old Style" w:hAnsi="Bookman Old Style"/>
          <w:b/>
          <w:bCs/>
          <w:color w:val="372971" w:themeColor="accent5" w:themeShade="80"/>
          <w:sz w:val="24"/>
          <w:szCs w:val="24"/>
        </w:rPr>
        <w:t>.1 Mbështetja financiare nga partnerët ndërkombëtarë gjatë vitit akademik 2015-2016</w:t>
      </w:r>
    </w:p>
    <w:p w:rsidR="00BD38C6" w:rsidRPr="002D52DA" w:rsidRDefault="00BD38C6" w:rsidP="00BD38C6">
      <w:pPr>
        <w:jc w:val="both"/>
        <w:rPr>
          <w:rFonts w:ascii="Bookman Old Style" w:hAnsi="Bookman Old Style" w:cs="Times New Roman"/>
          <w:i/>
        </w:rPr>
      </w:pPr>
      <w:r w:rsidRPr="002D52DA">
        <w:rPr>
          <w:rFonts w:ascii="Bookman Old Style" w:hAnsi="Bookman Old Style" w:cs="Times New Roman"/>
        </w:rPr>
        <w:t xml:space="preserve">Nga ana financiare, u arrit realizimi i suksesshëm i një pjese të aktiviteteve me ndihmën dhe mbështetjen e drejtpërdrejtë të organizmave dhe të institucioneve               të huaja. </w:t>
      </w:r>
    </w:p>
    <w:p w:rsidR="00BD38C6" w:rsidRPr="002D52DA" w:rsidRDefault="00BD38C6" w:rsidP="00BD38C6">
      <w:pPr>
        <w:jc w:val="both"/>
        <w:rPr>
          <w:rFonts w:ascii="Bookman Old Style" w:hAnsi="Bookman Old Style" w:cs="Times New Roman"/>
        </w:rPr>
      </w:pPr>
      <w:r w:rsidRPr="002D52DA">
        <w:rPr>
          <w:rFonts w:ascii="Bookman Old Style" w:hAnsi="Bookman Old Style" w:cs="Times New Roman"/>
        </w:rPr>
        <w:t>Qëllimi kryesor i synuar ishte përmirësimi i efikasitetit të sistemit gjyqësor me anë të forcimit të qëndrueshmërisë së Shkollës së Magjistraturës, duke rritur cilësinë e trajnimit fillestar dhe të vazhduar si dhe forcimin e kapaciteteve menaxhuese të institucionit. Më konkretisht, mbështetje për Shkollën për tu kthyer në një institucion të vetë-qëndrueshëm brenda gjyqësorit.</w:t>
      </w:r>
    </w:p>
    <w:p w:rsidR="00BD38C6" w:rsidRPr="002D52DA" w:rsidRDefault="00BD38C6" w:rsidP="00BD38C6">
      <w:pPr>
        <w:jc w:val="both"/>
        <w:rPr>
          <w:rFonts w:ascii="Bookman Old Style" w:hAnsi="Bookman Old Style" w:cs="Times New Roman"/>
        </w:rPr>
      </w:pPr>
      <w:r w:rsidRPr="002D52DA">
        <w:rPr>
          <w:rFonts w:ascii="Bookman Old Style" w:hAnsi="Bookman Old Style" w:cs="Times New Roman"/>
        </w:rPr>
        <w:t>Përsa i përket sesioneve trajnuese të zhvilluara në kuadër të bashkëpunimit me partnerët ndërkombëtarë, Shkolla e Magjistraturës ka luajtur një rol të rëndësishëm duke koordinuar këto aktivitete dhe duke u kujdesur për anën administrative të organizimit të tyre. Me konkretisht, kontributi i Shkollës në këto sesione trajnuese konsistoi në hartimin e programit dhe të kalendarit të formimit vazhdues, në ofrimin e ambienteve të duhura për zhvillimin e sesioneve, të pajisjeve të përkthimit simultan, në rregullimin e shërbimeve aksesore lehtësuese për realizimin e kurseve, në pajisjen me materialet e fotokopjuara për çdo temë të përgatitur, hartimin e listave të pjesëmarrësve, ftesat për pjesëmarrësit, moderimin dhe vlerësimin e seancave trajnuese, pagat e punonjësve, shpenzimet administrative dhe mirëmbajtjes së ambienteve, sigurimit të karburantit (gjeneratori), shpenzimet e postimit të ftesave, telefonat, etj.</w:t>
      </w:r>
    </w:p>
    <w:p w:rsidR="00BD38C6" w:rsidRPr="00BD38C6" w:rsidRDefault="00BD38C6" w:rsidP="00BD38C6">
      <w:pPr>
        <w:jc w:val="both"/>
        <w:rPr>
          <w:rFonts w:ascii="Bookman Old Style" w:hAnsi="Bookman Old Style"/>
          <w:b/>
          <w:bCs/>
          <w:color w:val="372971" w:themeColor="accent5" w:themeShade="80"/>
          <w:sz w:val="24"/>
          <w:szCs w:val="24"/>
        </w:rPr>
      </w:pPr>
      <w:r w:rsidRPr="00BD38C6">
        <w:rPr>
          <w:rFonts w:ascii="Bookman Old Style" w:hAnsi="Bookman Old Style"/>
          <w:b/>
          <w:bCs/>
          <w:color w:val="372971" w:themeColor="accent5" w:themeShade="80"/>
          <w:sz w:val="24"/>
          <w:szCs w:val="24"/>
        </w:rPr>
        <w:t>Aneksi II.  TABELA E MBËSHTETJES FINANCIARE NGA PARTNERËT NDËRKOMBËTARË</w:t>
      </w:r>
    </w:p>
    <w:tbl>
      <w:tblPr>
        <w:tblW w:w="1081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3"/>
        <w:gridCol w:w="1435"/>
        <w:gridCol w:w="1545"/>
        <w:gridCol w:w="3974"/>
        <w:gridCol w:w="2981"/>
      </w:tblGrid>
      <w:tr w:rsidR="00BD38C6" w:rsidRPr="002D52DA" w:rsidTr="00BD38C6">
        <w:trPr>
          <w:trHeight w:val="146"/>
        </w:trPr>
        <w:tc>
          <w:tcPr>
            <w:tcW w:w="883" w:type="dxa"/>
          </w:tcPr>
          <w:p w:rsidR="00BD38C6" w:rsidRPr="002D52DA" w:rsidRDefault="00BD38C6" w:rsidP="00D16212">
            <w:pPr>
              <w:spacing w:after="0" w:line="240" w:lineRule="auto"/>
              <w:rPr>
                <w:rFonts w:ascii="Palatino Linotype" w:eastAsia="Batang" w:hAnsi="Palatino Linotype" w:cs="Times New Roman"/>
                <w:b/>
                <w:sz w:val="18"/>
                <w:szCs w:val="18"/>
                <w:u w:val="wave"/>
              </w:rPr>
            </w:pPr>
            <w:r w:rsidRPr="002D52DA">
              <w:rPr>
                <w:rFonts w:ascii="Palatino Linotype" w:eastAsia="Batang" w:hAnsi="Palatino Linotype" w:cs="Times New Roman"/>
                <w:b/>
                <w:sz w:val="18"/>
                <w:szCs w:val="18"/>
                <w:u w:val="wave"/>
              </w:rPr>
              <w:t>Nr.</w:t>
            </w:r>
          </w:p>
        </w:tc>
        <w:tc>
          <w:tcPr>
            <w:tcW w:w="1435" w:type="dxa"/>
          </w:tcPr>
          <w:p w:rsidR="00BD38C6" w:rsidRPr="002D52DA" w:rsidRDefault="00BD38C6" w:rsidP="00D16212">
            <w:pPr>
              <w:spacing w:after="0" w:line="240" w:lineRule="auto"/>
              <w:rPr>
                <w:rFonts w:ascii="Palatino Linotype" w:eastAsia="Batang" w:hAnsi="Palatino Linotype" w:cs="Times New Roman"/>
                <w:b/>
                <w:sz w:val="18"/>
                <w:szCs w:val="18"/>
                <w:u w:val="wave"/>
              </w:rPr>
            </w:pPr>
            <w:r w:rsidRPr="002D52DA">
              <w:rPr>
                <w:rFonts w:ascii="Palatino Linotype" w:eastAsia="Batang" w:hAnsi="Palatino Linotype" w:cs="Times New Roman"/>
                <w:b/>
                <w:sz w:val="18"/>
                <w:szCs w:val="18"/>
                <w:u w:val="wave"/>
              </w:rPr>
              <w:t>Datat</w:t>
            </w:r>
            <w:r w:rsidRPr="002D52DA">
              <w:rPr>
                <w:rFonts w:ascii="Palatino Linotype" w:eastAsia="Batang" w:hAnsi="Palatino Linotype" w:cs="Times New Roman"/>
                <w:b/>
                <w:sz w:val="18"/>
                <w:szCs w:val="18"/>
                <w:u w:val="wave"/>
                <w:vertAlign w:val="superscript"/>
              </w:rPr>
              <w:footnoteReference w:id="8"/>
            </w:r>
          </w:p>
        </w:tc>
        <w:tc>
          <w:tcPr>
            <w:tcW w:w="1545" w:type="dxa"/>
          </w:tcPr>
          <w:p w:rsidR="00BD38C6" w:rsidRPr="002D52DA" w:rsidRDefault="00BD38C6" w:rsidP="00D16212">
            <w:pPr>
              <w:spacing w:after="0" w:line="240" w:lineRule="auto"/>
              <w:rPr>
                <w:rFonts w:ascii="Palatino Linotype" w:eastAsia="Batang" w:hAnsi="Palatino Linotype" w:cs="Times New Roman"/>
                <w:b/>
                <w:sz w:val="18"/>
                <w:szCs w:val="18"/>
                <w:u w:val="wave"/>
              </w:rPr>
            </w:pPr>
            <w:r w:rsidRPr="002D52DA">
              <w:rPr>
                <w:rFonts w:ascii="Palatino Linotype" w:eastAsia="Batang" w:hAnsi="Palatino Linotype" w:cs="Times New Roman"/>
                <w:b/>
                <w:sz w:val="18"/>
                <w:szCs w:val="18"/>
                <w:u w:val="wave"/>
              </w:rPr>
              <w:t xml:space="preserve">Donator </w:t>
            </w:r>
          </w:p>
        </w:tc>
        <w:tc>
          <w:tcPr>
            <w:tcW w:w="3974" w:type="dxa"/>
          </w:tcPr>
          <w:p w:rsidR="00BD38C6" w:rsidRPr="002D52DA" w:rsidRDefault="00BD38C6" w:rsidP="00D16212">
            <w:pPr>
              <w:spacing w:after="0" w:line="240" w:lineRule="auto"/>
              <w:jc w:val="center"/>
              <w:rPr>
                <w:rFonts w:ascii="Palatino Linotype" w:eastAsia="Batang" w:hAnsi="Palatino Linotype" w:cs="Times New Roman"/>
                <w:i/>
                <w:sz w:val="18"/>
                <w:szCs w:val="18"/>
                <w:u w:val="wave"/>
              </w:rPr>
            </w:pPr>
            <w:r w:rsidRPr="002D52DA">
              <w:rPr>
                <w:rFonts w:ascii="Palatino Linotype" w:eastAsia="Batang" w:hAnsi="Palatino Linotype" w:cs="Times New Roman"/>
                <w:b/>
                <w:sz w:val="18"/>
                <w:szCs w:val="18"/>
              </w:rPr>
              <w:t>KODET/FUSHAT</w:t>
            </w:r>
          </w:p>
        </w:tc>
        <w:tc>
          <w:tcPr>
            <w:tcW w:w="2981" w:type="dxa"/>
          </w:tcPr>
          <w:p w:rsidR="00BD38C6" w:rsidRPr="002D52DA" w:rsidRDefault="00BD38C6" w:rsidP="00D16212">
            <w:pPr>
              <w:spacing w:after="0" w:line="240" w:lineRule="auto"/>
              <w:jc w:val="center"/>
              <w:rPr>
                <w:rFonts w:ascii="Palatino Linotype" w:eastAsia="Batang" w:hAnsi="Palatino Linotype" w:cs="Times New Roman"/>
                <w:b/>
                <w:sz w:val="18"/>
                <w:szCs w:val="18"/>
                <w:u w:val="wave"/>
              </w:rPr>
            </w:pPr>
            <w:r w:rsidRPr="002D52DA">
              <w:rPr>
                <w:rFonts w:ascii="Palatino Linotype" w:eastAsia="Batang" w:hAnsi="Palatino Linotype" w:cs="Times New Roman"/>
                <w:b/>
                <w:sz w:val="18"/>
                <w:szCs w:val="18"/>
                <w:u w:val="wave"/>
              </w:rPr>
              <w:t>Mbështetja financiare</w:t>
            </w:r>
          </w:p>
        </w:tc>
      </w:tr>
      <w:tr w:rsidR="00BD38C6" w:rsidRPr="002D52DA" w:rsidTr="00BD38C6">
        <w:trPr>
          <w:trHeight w:val="146"/>
        </w:trPr>
        <w:tc>
          <w:tcPr>
            <w:tcW w:w="883"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b/>
                <w:color w:val="632423"/>
                <w:sz w:val="18"/>
                <w:szCs w:val="18"/>
                <w:u w:val="wave"/>
              </w:rPr>
            </w:pPr>
            <w:r w:rsidRPr="002D52DA">
              <w:rPr>
                <w:rFonts w:ascii="Palatino Linotype" w:eastAsia="Batang" w:hAnsi="Palatino Linotype" w:cs="Times New Roman"/>
                <w:b/>
                <w:color w:val="632423"/>
                <w:sz w:val="18"/>
                <w:szCs w:val="18"/>
                <w:u w:val="wave"/>
              </w:rPr>
              <w:t>SHTATOR</w:t>
            </w:r>
          </w:p>
          <w:p w:rsidR="00BD38C6" w:rsidRPr="002D52DA" w:rsidRDefault="00BD38C6" w:rsidP="00D16212">
            <w:pPr>
              <w:spacing w:after="0" w:line="240" w:lineRule="auto"/>
              <w:rPr>
                <w:rFonts w:ascii="Palatino Linotype" w:eastAsia="Batang" w:hAnsi="Palatino Linotype" w:cs="Times New Roman"/>
                <w:b/>
                <w:color w:val="632423"/>
                <w:sz w:val="18"/>
                <w:szCs w:val="18"/>
                <w:u w:val="wave"/>
              </w:rPr>
            </w:pPr>
            <w:r w:rsidRPr="002D52DA">
              <w:rPr>
                <w:rFonts w:ascii="Palatino Linotype" w:eastAsia="Batang" w:hAnsi="Palatino Linotype" w:cs="Times New Roman"/>
                <w:b/>
                <w:color w:val="632423"/>
                <w:sz w:val="18"/>
                <w:szCs w:val="18"/>
                <w:u w:val="wave"/>
              </w:rPr>
              <w:t>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3974" w:type="dxa"/>
          </w:tcPr>
          <w:p w:rsidR="00BD38C6" w:rsidRPr="002D52DA" w:rsidRDefault="00BD38C6" w:rsidP="00D16212">
            <w:pPr>
              <w:spacing w:after="0" w:line="240" w:lineRule="auto"/>
              <w:jc w:val="both"/>
              <w:rPr>
                <w:rFonts w:ascii="Palatino Linotype" w:eastAsia="MS Mincho" w:hAnsi="Palatino Linotype" w:cs="Times New Roman"/>
                <w:b/>
                <w:sz w:val="18"/>
                <w:szCs w:val="18"/>
              </w:rPr>
            </w:pPr>
          </w:p>
        </w:tc>
        <w:tc>
          <w:tcPr>
            <w:tcW w:w="2981" w:type="dxa"/>
          </w:tcPr>
          <w:p w:rsidR="00BD38C6" w:rsidRPr="002D52DA" w:rsidRDefault="00BD38C6" w:rsidP="00D16212">
            <w:pPr>
              <w:spacing w:after="0" w:line="240" w:lineRule="auto"/>
              <w:jc w:val="center"/>
              <w:rPr>
                <w:rFonts w:ascii="Palatino Linotype" w:eastAsia="Batang" w:hAnsi="Palatino Linotype" w:cs="Times New Roman"/>
                <w:b/>
                <w:sz w:val="18"/>
                <w:szCs w:val="18"/>
                <w:u w:val="wave"/>
              </w:rPr>
            </w:pP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9 shtator 2015</w:t>
            </w:r>
          </w:p>
        </w:tc>
        <w:tc>
          <w:tcPr>
            <w:tcW w:w="1545" w:type="dxa"/>
          </w:tcPr>
          <w:p w:rsidR="00BD38C6" w:rsidRPr="002D52DA" w:rsidRDefault="00BD38C6" w:rsidP="00D16212">
            <w:pPr>
              <w:spacing w:after="0" w:line="240" w:lineRule="auto"/>
              <w:rPr>
                <w:rFonts w:ascii="Palatino Linotype" w:eastAsia="Times New Roman" w:hAnsi="Palatino Linotype" w:cs="Times New Roman"/>
                <w:color w:val="000000"/>
                <w:sz w:val="18"/>
                <w:szCs w:val="18"/>
                <w:lang w:eastAsia="en-GB"/>
              </w:rPr>
            </w:pPr>
            <w:r w:rsidRPr="002D52DA">
              <w:rPr>
                <w:rFonts w:ascii="Palatino Linotype" w:eastAsia="Batang" w:hAnsi="Palatino Linotype" w:cs="Times New Roman"/>
                <w:sz w:val="18"/>
                <w:szCs w:val="18"/>
              </w:rPr>
              <w:t>EURALIUS</w:t>
            </w:r>
          </w:p>
        </w:tc>
        <w:tc>
          <w:tcPr>
            <w:tcW w:w="3974" w:type="dxa"/>
          </w:tcPr>
          <w:p w:rsidR="00BD38C6" w:rsidRPr="002D52DA" w:rsidRDefault="00BD38C6" w:rsidP="00D16212">
            <w:pPr>
              <w:spacing w:after="0" w:line="240" w:lineRule="auto"/>
              <w:jc w:val="both"/>
              <w:rPr>
                <w:rFonts w:ascii="Palatino Linotype" w:eastAsia="Batang" w:hAnsi="Palatino Linotype" w:cs="Times New Roman"/>
                <w:i/>
                <w:sz w:val="18"/>
                <w:szCs w:val="18"/>
                <w:u w:val="wave"/>
              </w:rPr>
            </w:pPr>
            <w:r w:rsidRPr="002D52DA">
              <w:rPr>
                <w:rFonts w:ascii="Palatino Linotype" w:eastAsia="Times New Roman" w:hAnsi="Palatino Linotype" w:cs="Times New Roman"/>
                <w:color w:val="000000"/>
                <w:sz w:val="18"/>
                <w:szCs w:val="18"/>
              </w:rPr>
              <w:t>Kodi Administrativ.</w:t>
            </w:r>
          </w:p>
        </w:tc>
        <w:tc>
          <w:tcPr>
            <w:tcW w:w="2981" w:type="dxa"/>
          </w:tcPr>
          <w:p w:rsidR="00BD38C6" w:rsidRPr="002D52DA" w:rsidRDefault="00BD38C6" w:rsidP="00D16212">
            <w:pPr>
              <w:shd w:val="clear" w:color="auto" w:fill="FFFFFF"/>
              <w:spacing w:after="0" w:line="240" w:lineRule="auto"/>
              <w:jc w:val="center"/>
              <w:rPr>
                <w:rFonts w:ascii="Palatino Linotype" w:eastAsia="Times New Roman" w:hAnsi="Palatino Linotype" w:cs="Times New Roman"/>
                <w:color w:val="000000"/>
                <w:sz w:val="18"/>
                <w:szCs w:val="18"/>
              </w:rPr>
            </w:pPr>
            <w:r w:rsidRPr="002D52DA">
              <w:rPr>
                <w:rFonts w:ascii="Palatino Linotype" w:eastAsia="Times New Roman" w:hAnsi="Palatino Linotype" w:cs="Times New Roman"/>
                <w:color w:val="000000"/>
                <w:sz w:val="18"/>
                <w:szCs w:val="18"/>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10 shtator 2015</w:t>
            </w:r>
          </w:p>
        </w:tc>
        <w:tc>
          <w:tcPr>
            <w:tcW w:w="1545" w:type="dxa"/>
          </w:tcPr>
          <w:p w:rsidR="00BD38C6" w:rsidRPr="002D52DA" w:rsidRDefault="00BD38C6" w:rsidP="00D16212">
            <w:pPr>
              <w:spacing w:after="0" w:line="240" w:lineRule="auto"/>
              <w:rPr>
                <w:rFonts w:ascii="Palatino Linotype" w:eastAsia="Times New Roman" w:hAnsi="Palatino Linotype" w:cs="Times New Roman"/>
                <w:color w:val="000000"/>
                <w:sz w:val="18"/>
                <w:szCs w:val="18"/>
                <w:lang w:eastAsia="en-GB"/>
              </w:rPr>
            </w:pPr>
            <w:r w:rsidRPr="002D52DA">
              <w:rPr>
                <w:rFonts w:ascii="Palatino Linotype" w:eastAsia="Batang" w:hAnsi="Palatino Linotype" w:cs="Times New Roman"/>
                <w:sz w:val="18"/>
                <w:szCs w:val="18"/>
              </w:rPr>
              <w:t>EURALIUS</w:t>
            </w:r>
          </w:p>
        </w:tc>
        <w:tc>
          <w:tcPr>
            <w:tcW w:w="3974" w:type="dxa"/>
          </w:tcPr>
          <w:p w:rsidR="00BD38C6" w:rsidRPr="002D52DA" w:rsidRDefault="00BD38C6" w:rsidP="00D16212">
            <w:pPr>
              <w:spacing w:after="0" w:line="240" w:lineRule="auto"/>
              <w:jc w:val="both"/>
              <w:rPr>
                <w:rFonts w:ascii="Palatino Linotype" w:eastAsia="Batang" w:hAnsi="Palatino Linotype" w:cs="Times New Roman"/>
                <w:i/>
                <w:sz w:val="18"/>
                <w:szCs w:val="18"/>
                <w:u w:val="wave"/>
              </w:rPr>
            </w:pPr>
            <w:r w:rsidRPr="002D52DA">
              <w:rPr>
                <w:rFonts w:ascii="Palatino Linotype" w:eastAsia="Times New Roman" w:hAnsi="Palatino Linotype" w:cs="Times New Roman"/>
                <w:color w:val="000000"/>
                <w:sz w:val="18"/>
                <w:szCs w:val="18"/>
              </w:rPr>
              <w:t>Kodi Administrativ.</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b/>
                <w:color w:val="632423"/>
                <w:sz w:val="18"/>
                <w:szCs w:val="18"/>
                <w:u w:val="wave"/>
              </w:rPr>
            </w:pPr>
            <w:r w:rsidRPr="002D52DA">
              <w:rPr>
                <w:rFonts w:ascii="Palatino Linotype" w:eastAsia="Batang" w:hAnsi="Palatino Linotype" w:cs="Times New Roman"/>
                <w:b/>
                <w:color w:val="632423"/>
                <w:sz w:val="18"/>
                <w:szCs w:val="18"/>
                <w:u w:val="wave"/>
              </w:rPr>
              <w:t>TETOR</w:t>
            </w:r>
          </w:p>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b/>
                <w:color w:val="632423"/>
                <w:sz w:val="18"/>
                <w:szCs w:val="18"/>
                <w:u w:val="wave"/>
              </w:rPr>
              <w:t>2015</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p>
        </w:tc>
        <w:tc>
          <w:tcPr>
            <w:tcW w:w="3974" w:type="dxa"/>
          </w:tcPr>
          <w:p w:rsidR="00BD38C6" w:rsidRPr="002D52DA" w:rsidRDefault="00BD38C6" w:rsidP="00D16212">
            <w:pPr>
              <w:spacing w:after="0" w:line="240" w:lineRule="auto"/>
              <w:jc w:val="both"/>
              <w:rPr>
                <w:rFonts w:ascii="Palatino Linotype" w:eastAsia="MS Mincho" w:hAnsi="Palatino Linotype" w:cs="Times New Roman"/>
                <w:sz w:val="18"/>
                <w:szCs w:val="18"/>
              </w:rPr>
            </w:pP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8-9 tetor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QNL/NHC</w:t>
            </w:r>
          </w:p>
        </w:tc>
        <w:tc>
          <w:tcPr>
            <w:tcW w:w="3974" w:type="dxa"/>
          </w:tcPr>
          <w:p w:rsidR="00BD38C6" w:rsidRPr="002D52DA" w:rsidRDefault="00BD38C6" w:rsidP="00D16212">
            <w:pPr>
              <w:shd w:val="clear" w:color="auto" w:fill="FFFFFF"/>
              <w:spacing w:after="0" w:line="240" w:lineRule="auto"/>
              <w:jc w:val="both"/>
              <w:rPr>
                <w:rFonts w:ascii="Palatino Linotype" w:eastAsia="Times New Roman" w:hAnsi="Palatino Linotype" w:cs="Times New Roman"/>
                <w:color w:val="000000"/>
                <w:sz w:val="18"/>
                <w:szCs w:val="18"/>
              </w:rPr>
            </w:pPr>
            <w:r w:rsidRPr="002D52DA">
              <w:rPr>
                <w:rFonts w:ascii="Palatino Linotype" w:eastAsia="MS Mincho" w:hAnsi="Palatino Linotype" w:cs="Times New Roman"/>
                <w:sz w:val="18"/>
                <w:szCs w:val="18"/>
              </w:rPr>
              <w:t>Hetimi i krimit financiar në rastet e trafikimit të qenieve njerëzore.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10 tetor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QNL/NHC</w:t>
            </w:r>
          </w:p>
        </w:tc>
        <w:tc>
          <w:tcPr>
            <w:tcW w:w="3974" w:type="dxa"/>
          </w:tcPr>
          <w:p w:rsidR="00BD38C6" w:rsidRPr="002D52DA" w:rsidRDefault="00BD38C6" w:rsidP="00D16212">
            <w:pPr>
              <w:shd w:val="clear" w:color="auto" w:fill="FFFFFF"/>
              <w:spacing w:after="0" w:line="240" w:lineRule="auto"/>
              <w:jc w:val="both"/>
              <w:rPr>
                <w:rFonts w:ascii="Palatino Linotype" w:eastAsia="MS Mincho" w:hAnsi="Palatino Linotype" w:cs="Times New Roman"/>
                <w:sz w:val="18"/>
                <w:szCs w:val="18"/>
              </w:rPr>
            </w:pPr>
            <w:r w:rsidRPr="002D52DA">
              <w:rPr>
                <w:rFonts w:ascii="Palatino Linotype" w:eastAsia="MS Mincho" w:hAnsi="Palatino Linotype" w:cs="Times New Roman"/>
                <w:sz w:val="18"/>
                <w:szCs w:val="18"/>
              </w:rPr>
              <w:t xml:space="preserve">Takim ekspertësh: Grupi i punës për rishikimin e kurrikulave dhe moduleve të ShM </w:t>
            </w:r>
            <w:r w:rsidRPr="002D52DA">
              <w:rPr>
                <w:rFonts w:ascii="Palatino Linotype" w:eastAsia="MS Mincho" w:hAnsi="Palatino Linotype" w:cs="Times New Roman"/>
                <w:sz w:val="18"/>
                <w:szCs w:val="18"/>
              </w:rPr>
              <w:lastRenderedPageBreak/>
              <w:t>në lëndën mbi trafikimin e qenieve njerëzore.</w:t>
            </w:r>
          </w:p>
          <w:p w:rsidR="00BD38C6" w:rsidRPr="002D52DA" w:rsidRDefault="00BD38C6" w:rsidP="00D16212">
            <w:pPr>
              <w:spacing w:after="0" w:line="240" w:lineRule="auto"/>
              <w:rPr>
                <w:rFonts w:ascii="Palatino Linotype" w:eastAsia="MS Mincho" w:hAnsi="Palatino Linotype" w:cs="Times New Roman"/>
                <w:sz w:val="18"/>
                <w:szCs w:val="18"/>
              </w:rPr>
            </w:pPr>
          </w:p>
          <w:p w:rsidR="00BD38C6" w:rsidRPr="002D52DA" w:rsidRDefault="00BD38C6" w:rsidP="00D16212">
            <w:pPr>
              <w:tabs>
                <w:tab w:val="left" w:pos="5040"/>
              </w:tabs>
              <w:spacing w:after="0" w:line="240" w:lineRule="auto"/>
              <w:rPr>
                <w:rFonts w:ascii="Palatino Linotype" w:eastAsia="MS Mincho" w:hAnsi="Palatino Linotype" w:cs="Times New Roman"/>
                <w:sz w:val="18"/>
                <w:szCs w:val="18"/>
              </w:rPr>
            </w:pPr>
            <w:r w:rsidRPr="002D52DA">
              <w:rPr>
                <w:rFonts w:ascii="Palatino Linotype" w:eastAsia="MS Mincho" w:hAnsi="Palatino Linotype" w:cs="Times New Roman"/>
                <w:sz w:val="18"/>
                <w:szCs w:val="18"/>
              </w:rPr>
              <w:tab/>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lastRenderedPageBreak/>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12 tetor 2015</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sz w:val="18"/>
                <w:szCs w:val="18"/>
              </w:rPr>
              <w:t>PAMECA</w:t>
            </w:r>
          </w:p>
        </w:tc>
        <w:tc>
          <w:tcPr>
            <w:tcW w:w="3974" w:type="dxa"/>
          </w:tcPr>
          <w:p w:rsidR="00BD38C6" w:rsidRPr="002D52DA" w:rsidRDefault="00BD38C6" w:rsidP="00D16212">
            <w:pPr>
              <w:shd w:val="clear" w:color="auto" w:fill="FFFFFF"/>
              <w:spacing w:after="0" w:line="240" w:lineRule="auto"/>
              <w:jc w:val="both"/>
              <w:rPr>
                <w:rFonts w:ascii="Palatino Linotype" w:eastAsia="MS Mincho" w:hAnsi="Palatino Linotype" w:cs="Times New Roman"/>
                <w:sz w:val="18"/>
                <w:szCs w:val="18"/>
              </w:rPr>
            </w:pPr>
            <w:r w:rsidRPr="002D52DA">
              <w:rPr>
                <w:rFonts w:ascii="Palatino Linotype" w:eastAsia="Times New Roman" w:hAnsi="Palatino Linotype" w:cs="Times New Roman"/>
                <w:sz w:val="18"/>
                <w:szCs w:val="18"/>
              </w:rPr>
              <w:t>Formim Fillestar:Vendet e parajsës fiskale: karakteristikat dhe instrumentet nd</w:t>
            </w:r>
            <w:r w:rsidRPr="002D52DA">
              <w:rPr>
                <w:rFonts w:ascii="Times New Roman" w:eastAsia="Times New Roman" w:hAnsi="Times New Roman" w:cs="Times New Roman"/>
                <w:sz w:val="18"/>
                <w:szCs w:val="18"/>
                <w:lang w:eastAsia="ko-KR"/>
              </w:rPr>
              <w:t>ë</w:t>
            </w:r>
            <w:r w:rsidRPr="002D52DA">
              <w:rPr>
                <w:rFonts w:ascii="Palatino Linotype" w:eastAsia="Times New Roman" w:hAnsi="Palatino Linotype" w:cs="Times New Roman"/>
                <w:sz w:val="18"/>
                <w:szCs w:val="18"/>
              </w:rPr>
              <w:t xml:space="preserve">rkombëtare për gjurmimin e evazionit fiskal. </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15 tetor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FZK</w:t>
            </w:r>
          </w:p>
        </w:tc>
        <w:tc>
          <w:tcPr>
            <w:tcW w:w="3974" w:type="dxa"/>
          </w:tcPr>
          <w:p w:rsidR="00BD38C6" w:rsidRPr="002D52DA" w:rsidRDefault="00BD38C6" w:rsidP="00D16212">
            <w:pPr>
              <w:shd w:val="clear" w:color="auto" w:fill="FFFFFF"/>
              <w:spacing w:after="0" w:line="240" w:lineRule="auto"/>
              <w:jc w:val="both"/>
              <w:rPr>
                <w:rFonts w:ascii="Palatino Linotype" w:eastAsia="Times New Roman" w:hAnsi="Palatino Linotype" w:cs="Times New Roman"/>
                <w:sz w:val="18"/>
                <w:szCs w:val="18"/>
              </w:rPr>
            </w:pPr>
            <w:r w:rsidRPr="002D52DA">
              <w:rPr>
                <w:rFonts w:ascii="Palatino Linotype" w:eastAsia="MS Mincho" w:hAnsi="Palatino Linotype" w:cs="Times New Roman"/>
                <w:sz w:val="18"/>
                <w:szCs w:val="18"/>
              </w:rPr>
              <w:t>Workshop: Drejtësia restauruese dhe ndërmjet     ësimit viktimë-kundërvuajtës për të miturit.</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20-21 tetor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QE/KAS</w:t>
            </w:r>
          </w:p>
        </w:tc>
        <w:tc>
          <w:tcPr>
            <w:tcW w:w="3974" w:type="dxa"/>
          </w:tcPr>
          <w:p w:rsidR="00BD38C6" w:rsidRPr="002D52DA" w:rsidRDefault="00BD38C6" w:rsidP="00D16212">
            <w:pPr>
              <w:spacing w:after="0" w:line="240" w:lineRule="auto"/>
              <w:jc w:val="both"/>
              <w:rPr>
                <w:rFonts w:ascii="Palatino Linotype" w:eastAsia="MS Mincho" w:hAnsi="Palatino Linotype" w:cs="Times New Roman"/>
                <w:sz w:val="18"/>
                <w:szCs w:val="18"/>
              </w:rPr>
            </w:pPr>
            <w:r w:rsidRPr="002D52DA">
              <w:rPr>
                <w:rFonts w:ascii="Palatino Linotype" w:eastAsia="Times New Roman" w:hAnsi="Palatino Linotype" w:cs="Times New Roman"/>
                <w:sz w:val="18"/>
                <w:szCs w:val="18"/>
              </w:rPr>
              <w:t>Asistencë për mbrojtjen më të mirë në lidhje me Neni 10 (Liria e shprehjes) të KEDNJ, përmes zbatimit të standardeve të Gjykatës Evropiane të të Drejtave të Njeriut.</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28 tetor 2015</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sz w:val="18"/>
                <w:szCs w:val="18"/>
              </w:rPr>
              <w:t>OSBE</w:t>
            </w:r>
          </w:p>
        </w:tc>
        <w:tc>
          <w:tcPr>
            <w:tcW w:w="3974" w:type="dxa"/>
          </w:tcPr>
          <w:p w:rsidR="00BD38C6" w:rsidRPr="002D52DA" w:rsidRDefault="00BD38C6" w:rsidP="00D16212">
            <w:pPr>
              <w:spacing w:after="0" w:line="240" w:lineRule="auto"/>
              <w:jc w:val="both"/>
              <w:rPr>
                <w:rFonts w:ascii="Palatino Linotype" w:eastAsia="MS Mincho" w:hAnsi="Palatino Linotype" w:cs="Times New Roman"/>
                <w:sz w:val="18"/>
                <w:szCs w:val="18"/>
              </w:rPr>
            </w:pPr>
            <w:r w:rsidRPr="002D52DA">
              <w:rPr>
                <w:rFonts w:ascii="Palatino Linotype" w:eastAsia="MS Mincho" w:hAnsi="Palatino Linotype" w:cs="Times New Roman"/>
                <w:sz w:val="18"/>
                <w:szCs w:val="18"/>
              </w:rPr>
              <w:t xml:space="preserve">Zhvillime të legjislacionit të prokurimeve publike dhe fiskal, në këndvështrimin e gjykimeve administrative. </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29 tetor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FZK</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sz w:val="18"/>
                <w:szCs w:val="18"/>
              </w:rPr>
            </w:pPr>
            <w:r w:rsidRPr="002D52DA">
              <w:rPr>
                <w:rFonts w:ascii="Palatino Linotype" w:eastAsia="MS Mincho" w:hAnsi="Palatino Linotype" w:cs="Times New Roman"/>
                <w:sz w:val="18"/>
                <w:szCs w:val="18"/>
              </w:rPr>
              <w:t>Workshop: Drejtësia restauruese dhe ndërmjetësimit viktimë-kundërvuajtës për të miturit.</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ShkodërFond i menaxhuar nga vetë donatori</w:t>
            </w:r>
          </w:p>
        </w:tc>
      </w:tr>
      <w:tr w:rsidR="00BD38C6" w:rsidRPr="002D52DA" w:rsidTr="00BD38C6">
        <w:trPr>
          <w:trHeight w:val="146"/>
        </w:trPr>
        <w:tc>
          <w:tcPr>
            <w:tcW w:w="883"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b/>
                <w:color w:val="632423"/>
                <w:sz w:val="18"/>
                <w:szCs w:val="18"/>
                <w:u w:val="wave"/>
              </w:rPr>
            </w:pPr>
            <w:r w:rsidRPr="002D52DA">
              <w:rPr>
                <w:rFonts w:ascii="Palatino Linotype" w:eastAsia="Batang" w:hAnsi="Palatino Linotype" w:cs="Times New Roman"/>
                <w:b/>
                <w:color w:val="632423"/>
                <w:sz w:val="18"/>
                <w:szCs w:val="18"/>
                <w:u w:val="wave"/>
              </w:rPr>
              <w:t>NËNTOR</w:t>
            </w:r>
          </w:p>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b/>
                <w:color w:val="632423"/>
                <w:sz w:val="18"/>
                <w:szCs w:val="18"/>
                <w:u w:val="wave"/>
              </w:rPr>
              <w:t>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rPr>
            </w:pPr>
          </w:p>
        </w:tc>
        <w:tc>
          <w:tcPr>
            <w:tcW w:w="3974" w:type="dxa"/>
          </w:tcPr>
          <w:p w:rsidR="00BD38C6" w:rsidRPr="002D52DA" w:rsidRDefault="00BD38C6" w:rsidP="00D16212">
            <w:pPr>
              <w:spacing w:after="0" w:line="240" w:lineRule="auto"/>
              <w:jc w:val="both"/>
              <w:rPr>
                <w:rFonts w:ascii="Palatino Linotype" w:eastAsia="MS Mincho" w:hAnsi="Palatino Linotype" w:cs="Times New Roman"/>
                <w:sz w:val="18"/>
                <w:szCs w:val="18"/>
              </w:rPr>
            </w:pP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 xml:space="preserve">2-3 </w:t>
            </w:r>
          </w:p>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rPr>
              <w:t>nëntor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PAMECA</w:t>
            </w:r>
          </w:p>
        </w:tc>
        <w:tc>
          <w:tcPr>
            <w:tcW w:w="3974" w:type="dxa"/>
          </w:tcPr>
          <w:p w:rsidR="00BD38C6" w:rsidRPr="002D52DA" w:rsidRDefault="00BD38C6" w:rsidP="00D16212">
            <w:pPr>
              <w:shd w:val="clear" w:color="auto" w:fill="FFFFFF"/>
              <w:spacing w:after="0" w:line="240" w:lineRule="auto"/>
              <w:jc w:val="both"/>
              <w:rPr>
                <w:rFonts w:ascii="Palatino Linotype" w:eastAsia="MS Mincho" w:hAnsi="Palatino Linotype" w:cs="Times New Roman"/>
                <w:bCs/>
                <w:sz w:val="18"/>
                <w:szCs w:val="18"/>
              </w:rPr>
            </w:pPr>
            <w:r w:rsidRPr="002D52DA">
              <w:rPr>
                <w:rFonts w:ascii="Palatino Linotype" w:eastAsia="MS Mincho" w:hAnsi="Palatino Linotype" w:cs="Times New Roman"/>
                <w:bCs/>
                <w:sz w:val="18"/>
                <w:szCs w:val="18"/>
              </w:rPr>
              <w:t>Konfiskimi i aseteve në kuadër të ligjit antimafia.</w:t>
            </w:r>
          </w:p>
        </w:tc>
        <w:tc>
          <w:tcPr>
            <w:tcW w:w="2981" w:type="dxa"/>
          </w:tcPr>
          <w:p w:rsidR="00BD38C6" w:rsidRPr="002D52DA" w:rsidRDefault="00BD38C6" w:rsidP="00D16212">
            <w:pPr>
              <w:spacing w:after="0" w:line="240" w:lineRule="auto"/>
              <w:jc w:val="center"/>
              <w:rPr>
                <w:rFonts w:ascii="Palatino Linotype" w:eastAsia="Times New Roman" w:hAnsi="Palatino Linotype" w:cs="Times New Roman"/>
                <w:b/>
                <w:bCs/>
                <w:sz w:val="18"/>
                <w:szCs w:val="18"/>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4 nëntor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OSBE</w:t>
            </w:r>
          </w:p>
        </w:tc>
        <w:tc>
          <w:tcPr>
            <w:tcW w:w="3974" w:type="dxa"/>
          </w:tcPr>
          <w:p w:rsidR="00BD38C6" w:rsidRPr="002D52DA" w:rsidRDefault="00BD38C6" w:rsidP="00D16212">
            <w:pPr>
              <w:spacing w:after="0" w:line="240" w:lineRule="auto"/>
              <w:jc w:val="both"/>
              <w:rPr>
                <w:rFonts w:ascii="Palatino Linotype" w:eastAsia="MS Mincho" w:hAnsi="Palatino Linotype" w:cs="Times New Roman"/>
                <w:sz w:val="18"/>
                <w:szCs w:val="18"/>
              </w:rPr>
            </w:pPr>
            <w:r w:rsidRPr="002D52DA">
              <w:rPr>
                <w:rFonts w:ascii="Palatino Linotype" w:eastAsia="MS Mincho" w:hAnsi="Palatino Linotype" w:cs="Times New Roman"/>
                <w:sz w:val="18"/>
                <w:szCs w:val="18"/>
              </w:rPr>
              <w:t xml:space="preserve">Risitë procedurale në gjykimet administrative. </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18 nëntor</w:t>
            </w:r>
          </w:p>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rPr>
              <w:t>OSBE</w:t>
            </w:r>
          </w:p>
        </w:tc>
        <w:tc>
          <w:tcPr>
            <w:tcW w:w="3974" w:type="dxa"/>
          </w:tcPr>
          <w:p w:rsidR="00BD38C6" w:rsidRPr="002D52DA" w:rsidRDefault="00BD38C6" w:rsidP="00D16212">
            <w:pPr>
              <w:spacing w:after="0" w:line="240" w:lineRule="auto"/>
              <w:jc w:val="both"/>
              <w:rPr>
                <w:rFonts w:ascii="Palatino Linotype" w:eastAsia="MS Mincho" w:hAnsi="Palatino Linotype" w:cs="Times New Roman"/>
                <w:sz w:val="18"/>
                <w:szCs w:val="18"/>
              </w:rPr>
            </w:pPr>
            <w:r w:rsidRPr="002D52DA">
              <w:rPr>
                <w:rFonts w:ascii="Palatino Linotype" w:eastAsia="MS Mincho" w:hAnsi="Palatino Linotype" w:cs="Times New Roman"/>
                <w:sz w:val="18"/>
                <w:szCs w:val="18"/>
              </w:rPr>
              <w:t>Zhvillime të legjislacionit fiskal, në këndvështrimin e gjykimeve administrative.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rPr>
              <w:t>19-20 nëntor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PAMECA</w:t>
            </w:r>
          </w:p>
        </w:tc>
        <w:tc>
          <w:tcPr>
            <w:tcW w:w="3974" w:type="dxa"/>
          </w:tcPr>
          <w:p w:rsidR="00BD38C6" w:rsidRPr="002D52DA" w:rsidRDefault="00BD38C6" w:rsidP="00D16212">
            <w:pPr>
              <w:shd w:val="clear" w:color="auto" w:fill="FFFFFF"/>
              <w:spacing w:after="0" w:line="240" w:lineRule="auto"/>
              <w:jc w:val="both"/>
              <w:rPr>
                <w:rFonts w:ascii="Palatino Linotype" w:eastAsia="MS Mincho" w:hAnsi="Palatino Linotype" w:cs="Times New Roman"/>
                <w:bCs/>
                <w:sz w:val="18"/>
                <w:szCs w:val="18"/>
              </w:rPr>
            </w:pPr>
            <w:r w:rsidRPr="002D52DA">
              <w:rPr>
                <w:rFonts w:ascii="Palatino Linotype" w:eastAsia="MS Mincho" w:hAnsi="Palatino Linotype" w:cs="Times New Roman"/>
                <w:bCs/>
                <w:sz w:val="18"/>
                <w:szCs w:val="18"/>
              </w:rPr>
              <w:t>Teknikat e ngritjes së akuzës.</w:t>
            </w:r>
          </w:p>
        </w:tc>
        <w:tc>
          <w:tcPr>
            <w:tcW w:w="2981" w:type="dxa"/>
          </w:tcPr>
          <w:p w:rsidR="00BD38C6" w:rsidRPr="002D52DA" w:rsidRDefault="00BD38C6" w:rsidP="00D16212">
            <w:pPr>
              <w:spacing w:after="0" w:line="240" w:lineRule="auto"/>
              <w:jc w:val="center"/>
              <w:rPr>
                <w:rFonts w:ascii="Palatino Linotype" w:eastAsia="Times New Roman" w:hAnsi="Palatino Linotype" w:cs="Times New Roman"/>
                <w:b/>
                <w:bCs/>
                <w:sz w:val="18"/>
                <w:szCs w:val="18"/>
              </w:rPr>
            </w:pPr>
            <w:r w:rsidRPr="002D52DA">
              <w:rPr>
                <w:rFonts w:ascii="Palatino Linotype" w:eastAsia="Batang" w:hAnsi="Palatino Linotype" w:cs="Times New Roman"/>
                <w:sz w:val="18"/>
                <w:szCs w:val="18"/>
                <w:u w:val="wave"/>
              </w:rPr>
              <w:t>ShMFond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25 nëntor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rPr>
              <w:t>OSBE</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sz w:val="18"/>
                <w:szCs w:val="18"/>
              </w:rPr>
            </w:pPr>
            <w:r w:rsidRPr="002D52DA">
              <w:rPr>
                <w:rFonts w:ascii="Palatino Linotype" w:eastAsia="MS Mincho" w:hAnsi="Palatino Linotype" w:cs="Times New Roman"/>
                <w:sz w:val="18"/>
                <w:szCs w:val="18"/>
              </w:rPr>
              <w:t>Zhvillime të legjislacionit fiskal, në këndvështrimin e gjykimeve administrative.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26-27 nëntor 2015</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sz w:val="18"/>
                <w:szCs w:val="18"/>
              </w:rPr>
              <w:t>OSBE</w:t>
            </w:r>
          </w:p>
        </w:tc>
        <w:tc>
          <w:tcPr>
            <w:tcW w:w="3974" w:type="dxa"/>
          </w:tcPr>
          <w:p w:rsidR="00BD38C6" w:rsidRPr="002D52DA" w:rsidRDefault="00BD38C6" w:rsidP="00D16212">
            <w:pPr>
              <w:spacing w:after="0" w:line="240" w:lineRule="auto"/>
              <w:jc w:val="both"/>
              <w:rPr>
                <w:rFonts w:ascii="Palatino Linotype" w:eastAsia="MS Mincho" w:hAnsi="Palatino Linotype" w:cs="Times New Roman"/>
                <w:sz w:val="18"/>
                <w:szCs w:val="18"/>
              </w:rPr>
            </w:pPr>
            <w:r w:rsidRPr="002D52DA">
              <w:rPr>
                <w:rFonts w:ascii="Palatino Linotype" w:eastAsia="MS Mincho" w:hAnsi="Palatino Linotype" w:cs="Times New Roman"/>
                <w:sz w:val="18"/>
                <w:szCs w:val="18"/>
              </w:rPr>
              <w:t>Dënimet alternative dhe shërbimi i provës.</w:t>
            </w:r>
          </w:p>
        </w:tc>
        <w:tc>
          <w:tcPr>
            <w:tcW w:w="2981" w:type="dxa"/>
          </w:tcPr>
          <w:p w:rsidR="00BD38C6" w:rsidRPr="002D52DA" w:rsidRDefault="00BD38C6" w:rsidP="00D16212">
            <w:pPr>
              <w:spacing w:after="0" w:line="240" w:lineRule="auto"/>
              <w:jc w:val="center"/>
              <w:rPr>
                <w:rFonts w:ascii="Palatino Linotype" w:eastAsia="Batang" w:hAnsi="Palatino Linotype" w:cs="Times New Roman"/>
                <w:i/>
                <w:sz w:val="18"/>
                <w:szCs w:val="18"/>
                <w:u w:val="wave"/>
              </w:rPr>
            </w:pPr>
            <w:r w:rsidRPr="002D52DA">
              <w:rPr>
                <w:rFonts w:ascii="Palatino Linotype" w:eastAsia="Batang" w:hAnsi="Palatino Linotype" w:cs="Times New Roman"/>
                <w:sz w:val="18"/>
                <w:szCs w:val="18"/>
              </w:rPr>
              <w:t>Fond i menaxhuar nga vetë donatori</w:t>
            </w:r>
          </w:p>
        </w:tc>
      </w:tr>
      <w:tr w:rsidR="00BD38C6" w:rsidRPr="002D52DA" w:rsidTr="00BD38C6">
        <w:trPr>
          <w:trHeight w:val="146"/>
        </w:trPr>
        <w:tc>
          <w:tcPr>
            <w:tcW w:w="883"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b/>
                <w:color w:val="632423"/>
                <w:sz w:val="18"/>
                <w:szCs w:val="18"/>
                <w:u w:val="wave"/>
              </w:rPr>
            </w:pPr>
            <w:r w:rsidRPr="002D52DA">
              <w:rPr>
                <w:rFonts w:ascii="Palatino Linotype" w:eastAsia="Batang" w:hAnsi="Palatino Linotype" w:cs="Times New Roman"/>
                <w:b/>
                <w:color w:val="632423"/>
                <w:sz w:val="18"/>
                <w:szCs w:val="18"/>
                <w:u w:val="wave"/>
              </w:rPr>
              <w:t>DHJETOR</w:t>
            </w:r>
          </w:p>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b/>
                <w:color w:val="632423"/>
                <w:sz w:val="18"/>
                <w:szCs w:val="18"/>
                <w:u w:val="wave"/>
              </w:rPr>
              <w:t>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3974" w:type="dxa"/>
          </w:tcPr>
          <w:p w:rsidR="00BD38C6" w:rsidRPr="002D52DA" w:rsidRDefault="00BD38C6" w:rsidP="00D16212">
            <w:pPr>
              <w:spacing w:after="0" w:line="240" w:lineRule="auto"/>
              <w:jc w:val="center"/>
              <w:rPr>
                <w:rFonts w:ascii="Palatino Linotype" w:eastAsia="Batang" w:hAnsi="Palatino Linotype" w:cs="Times New Roman"/>
                <w:sz w:val="18"/>
                <w:szCs w:val="18"/>
              </w:rPr>
            </w:pP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9 dhjetor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UNDP</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bCs/>
                <w:color w:val="000000"/>
                <w:sz w:val="18"/>
                <w:szCs w:val="18"/>
              </w:rPr>
            </w:pPr>
            <w:r w:rsidRPr="002D52DA">
              <w:rPr>
                <w:rFonts w:ascii="Palatino Linotype" w:eastAsia="MS Mincho" w:hAnsi="Palatino Linotype" w:cs="Times New Roman"/>
                <w:sz w:val="18"/>
                <w:szCs w:val="18"/>
              </w:rPr>
              <w:t>Roli i sistemit të drejtësisë në mbrojtjen dhe promovimin e standardeve të barazisë dhe mosdiskriminimit gjinor. Roli i Shkollës së Magjistraturës përmes programit të trajnimit vazhdues, vlerësim i nevojave në këto aspekte.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ShM</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11 dhjetor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IRZ/ShM</w:t>
            </w:r>
          </w:p>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sz w:val="18"/>
                <w:szCs w:val="18"/>
              </w:rPr>
              <w:t>FZK</w:t>
            </w:r>
            <w:r w:rsidRPr="002D52DA">
              <w:rPr>
                <w:rFonts w:ascii="Palatino Linotype" w:eastAsia="Batang" w:hAnsi="Palatino Linotype" w:cs="Times New Roman"/>
                <w:sz w:val="18"/>
                <w:szCs w:val="18"/>
                <w:vertAlign w:val="superscript"/>
              </w:rPr>
              <w:footnoteReference w:id="9"/>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sz w:val="18"/>
                <w:szCs w:val="18"/>
              </w:rPr>
            </w:pPr>
            <w:r w:rsidRPr="002D52DA">
              <w:rPr>
                <w:rFonts w:ascii="Palatino Linotype" w:eastAsia="MS Mincho" w:hAnsi="Palatino Linotype" w:cs="Times New Roman"/>
                <w:sz w:val="18"/>
                <w:szCs w:val="18"/>
              </w:rPr>
              <w:t xml:space="preserve">Vlerësimi i interesit më të lartë të fëmijës në çështjet me elementë të huaj. Standardet ndërkombëtare dhe përvoja vendase. </w:t>
            </w:r>
            <w:r w:rsidRPr="002D52DA">
              <w:rPr>
                <w:rFonts w:ascii="Palatino Linotype" w:eastAsia="Times New Roman" w:hAnsi="Palatino Linotype" w:cs="Times New Roman"/>
                <w:sz w:val="18"/>
                <w:szCs w:val="18"/>
              </w:rPr>
              <w:t>Nevoja të posaçme për mbrojtjen në gjykatë të fëmijëve viktima të dhunës në familje, të cilët përballen me konfliktet ndërmjet prindërve, përvojat me zbatimin e urdhrave të mbrojtjes për fëmijët, ofrimi i ndihmës psikologjike për fëmijët në gjykatë. </w:t>
            </w:r>
          </w:p>
          <w:p w:rsidR="00BD38C6" w:rsidRPr="002D52DA" w:rsidRDefault="00BD38C6" w:rsidP="00D16212">
            <w:pPr>
              <w:shd w:val="clear" w:color="auto" w:fill="FFFFFF"/>
              <w:spacing w:after="0" w:line="240" w:lineRule="auto"/>
              <w:jc w:val="both"/>
              <w:rPr>
                <w:rFonts w:ascii="Palatino Linotype" w:eastAsia="MS Mincho" w:hAnsi="Palatino Linotype" w:cs="Times New Roman"/>
                <w:sz w:val="18"/>
                <w:szCs w:val="18"/>
              </w:rPr>
            </w:pPr>
            <w:r w:rsidRPr="002D52DA">
              <w:rPr>
                <w:rFonts w:ascii="Palatino Linotype" w:eastAsia="Times New Roman" w:hAnsi="Palatino Linotype" w:cs="Times New Roman"/>
                <w:sz w:val="18"/>
                <w:szCs w:val="18"/>
              </w:rPr>
              <w:t xml:space="preserve">Trajnim i mëtejshëm për teknikat e </w:t>
            </w:r>
            <w:r w:rsidRPr="002D52DA">
              <w:rPr>
                <w:rFonts w:ascii="Palatino Linotype" w:eastAsia="Times New Roman" w:hAnsi="Palatino Linotype" w:cs="Times New Roman"/>
                <w:sz w:val="18"/>
                <w:szCs w:val="18"/>
              </w:rPr>
              <w:lastRenderedPageBreak/>
              <w:t>intervistimit / si të sigurohet pjesëmarrja e fëmijës në procedimin gjyqësor.  </w:t>
            </w:r>
          </w:p>
          <w:p w:rsidR="00BD38C6" w:rsidRPr="002D52DA" w:rsidRDefault="00BD38C6" w:rsidP="00D16212">
            <w:pPr>
              <w:shd w:val="clear" w:color="auto" w:fill="FFFFFF"/>
              <w:spacing w:after="0" w:line="240" w:lineRule="auto"/>
              <w:jc w:val="both"/>
              <w:rPr>
                <w:rFonts w:ascii="Palatino Linotype" w:eastAsia="Times New Roman" w:hAnsi="Palatino Linotype" w:cs="Times New Roman"/>
                <w:color w:val="000000"/>
                <w:sz w:val="18"/>
                <w:szCs w:val="18"/>
              </w:rPr>
            </w:pPr>
            <w:r w:rsidRPr="002D52DA">
              <w:rPr>
                <w:rFonts w:ascii="Palatino Linotype" w:eastAsia="MS Mincho" w:hAnsi="Palatino Linotype" w:cs="Times New Roman"/>
                <w:sz w:val="18"/>
                <w:szCs w:val="18"/>
              </w:rPr>
              <w:t>Drejtësia restauruese dhe ndërmjetësimit viktimë-kundërvuajtës për të miturit.</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rPr>
            </w:pPr>
            <w:r w:rsidRPr="002D52DA">
              <w:rPr>
                <w:rFonts w:ascii="Palatino Linotype" w:eastAsia="Batang" w:hAnsi="Palatino Linotype" w:cs="Times New Roman"/>
                <w:sz w:val="18"/>
                <w:szCs w:val="18"/>
                <w:u w:val="wave"/>
              </w:rPr>
              <w:lastRenderedPageBreak/>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11 dhjetor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UNDP</w:t>
            </w:r>
          </w:p>
        </w:tc>
        <w:tc>
          <w:tcPr>
            <w:tcW w:w="3974" w:type="dxa"/>
          </w:tcPr>
          <w:p w:rsidR="00BD38C6" w:rsidRPr="002D52DA" w:rsidRDefault="00BD38C6" w:rsidP="00D16212">
            <w:pPr>
              <w:shd w:val="clear" w:color="auto" w:fill="FFFFFF"/>
              <w:spacing w:after="0" w:line="240" w:lineRule="auto"/>
              <w:jc w:val="both"/>
              <w:rPr>
                <w:rFonts w:ascii="Palatino Linotype" w:eastAsia="Times New Roman" w:hAnsi="Palatino Linotype" w:cs="Times New Roman"/>
                <w:color w:val="000000"/>
                <w:sz w:val="18"/>
                <w:szCs w:val="18"/>
              </w:rPr>
            </w:pPr>
            <w:r w:rsidRPr="002D52DA">
              <w:rPr>
                <w:rFonts w:ascii="Palatino Linotype" w:eastAsia="Times New Roman" w:hAnsi="Palatino Linotype" w:cs="Times New Roman"/>
                <w:sz w:val="18"/>
                <w:szCs w:val="18"/>
                <w:lang w:eastAsia="en-GB"/>
              </w:rPr>
              <w:t>Mbrojtja në gjykatë e grave viktima/të mbijetuara të dhunës në familje. Konventa e Këshillit të Evropës për Parandalimin dhe Luftimin e Dhunës ndaj Grave dhe Dhunës në Familje (Konventa e Stambollit).</w:t>
            </w:r>
          </w:p>
          <w:p w:rsidR="00BD38C6" w:rsidRPr="002D52DA" w:rsidRDefault="00BD38C6" w:rsidP="00D16212">
            <w:pPr>
              <w:spacing w:after="0" w:line="240" w:lineRule="auto"/>
              <w:rPr>
                <w:rFonts w:ascii="Palatino Linotype" w:eastAsia="Times New Roman" w:hAnsi="Palatino Linotype" w:cs="Times New Roman"/>
                <w:sz w:val="18"/>
                <w:szCs w:val="18"/>
              </w:rPr>
            </w:pPr>
          </w:p>
          <w:p w:rsidR="00BD38C6" w:rsidRPr="002D52DA" w:rsidRDefault="00BD38C6" w:rsidP="00D16212">
            <w:pPr>
              <w:spacing w:after="0" w:line="240" w:lineRule="auto"/>
              <w:jc w:val="center"/>
              <w:rPr>
                <w:rFonts w:ascii="Palatino Linotype" w:eastAsia="Times New Roman" w:hAnsi="Palatino Linotype" w:cs="Times New Roman"/>
                <w:sz w:val="18"/>
                <w:szCs w:val="18"/>
              </w:rPr>
            </w:pP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ShM</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15 dhjetor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UNDP</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bCs/>
                <w:color w:val="000000"/>
                <w:sz w:val="18"/>
                <w:szCs w:val="18"/>
              </w:rPr>
            </w:pPr>
            <w:r w:rsidRPr="002D52DA">
              <w:rPr>
                <w:rFonts w:ascii="Palatino Linotype" w:eastAsia="MS Mincho" w:hAnsi="Palatino Linotype" w:cs="Times New Roman"/>
                <w:sz w:val="18"/>
                <w:szCs w:val="18"/>
              </w:rPr>
              <w:t>Roli i sistemit të drejtësisë në mbrojtjen dhe promovimin e standardeve të barazisë dhe mosdiskriminimit gjinor. Roli i Shkollës së Magjistraturës përmes programit të trajnimit vazhdues, vlerësim i nevojave në këto aspekte.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ShM</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16 dhjetor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UNDP</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bCs/>
                <w:color w:val="000000"/>
                <w:sz w:val="18"/>
                <w:szCs w:val="18"/>
              </w:rPr>
            </w:pPr>
            <w:r w:rsidRPr="002D52DA">
              <w:rPr>
                <w:rFonts w:ascii="Palatino Linotype" w:eastAsia="MS Mincho" w:hAnsi="Palatino Linotype" w:cs="Times New Roman"/>
                <w:sz w:val="18"/>
                <w:szCs w:val="18"/>
              </w:rPr>
              <w:t>Roli i sistemit të drejtësisë në mbrojtjen dhe promovimin e standardeve të barazisë dhe mosdiskriminimit gjinor. Roli i Shkollës së Magjistraturës përmes programit të trajnimit vazhdues, vlerësim i nevojave në këto aspekte.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ShM</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17 dhjetor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UNDP</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bCs/>
                <w:color w:val="000000"/>
                <w:sz w:val="18"/>
                <w:szCs w:val="18"/>
              </w:rPr>
            </w:pPr>
            <w:r w:rsidRPr="002D52DA">
              <w:rPr>
                <w:rFonts w:ascii="Palatino Linotype" w:eastAsia="MS Mincho" w:hAnsi="Palatino Linotype" w:cs="Times New Roman"/>
                <w:sz w:val="18"/>
                <w:szCs w:val="18"/>
              </w:rPr>
              <w:t>Roli i sistemit të drejtësisë në mbrojtjen dhe promovimin e standardeve të barazisë dhe mosdiskriminimit gjinor. Roli i Shkollës së Magjistraturës përmes programit të trajnimit vazhdues, vlerësim i nevojave në këto aspekte.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ShM</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17-18 dhjetor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UNCTAD</w:t>
            </w:r>
          </w:p>
        </w:tc>
        <w:tc>
          <w:tcPr>
            <w:tcW w:w="3974"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Times New Roman" w:hAnsi="Palatino Linotype" w:cs="Times New Roman"/>
                <w:sz w:val="18"/>
                <w:szCs w:val="18"/>
              </w:rPr>
              <w:t>Ligji evropian. Konkurrenca.</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18 dhjetor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UNDP</w:t>
            </w:r>
          </w:p>
        </w:tc>
        <w:tc>
          <w:tcPr>
            <w:tcW w:w="3974" w:type="dxa"/>
          </w:tcPr>
          <w:p w:rsidR="00BD38C6" w:rsidRPr="002D52DA" w:rsidRDefault="00BD38C6" w:rsidP="00D16212">
            <w:pPr>
              <w:shd w:val="clear" w:color="auto" w:fill="FFFFFF"/>
              <w:spacing w:after="0" w:line="240" w:lineRule="auto"/>
              <w:jc w:val="both"/>
              <w:rPr>
                <w:rFonts w:ascii="Palatino Linotype" w:eastAsia="Times New Roman" w:hAnsi="Palatino Linotype" w:cs="Times New Roman"/>
                <w:color w:val="000000"/>
                <w:sz w:val="18"/>
                <w:szCs w:val="18"/>
              </w:rPr>
            </w:pPr>
            <w:r w:rsidRPr="002D52DA">
              <w:rPr>
                <w:rFonts w:ascii="Palatino Linotype" w:eastAsia="Times New Roman" w:hAnsi="Palatino Linotype" w:cs="Times New Roman"/>
                <w:sz w:val="18"/>
                <w:szCs w:val="18"/>
                <w:lang w:eastAsia="en-GB"/>
              </w:rPr>
              <w:t>Mbrojtja në gjykatë e grave viktima/të mbijetuara të dhunës në familje. Konventa e Këshillit të Evropës për Parandalimin dhe Luftimin e Dhunës ndaj Grave dhe Dhunës në Familje (Konventa e Stambollit).</w:t>
            </w:r>
          </w:p>
          <w:p w:rsidR="00BD38C6" w:rsidRPr="002D52DA" w:rsidRDefault="00BD38C6" w:rsidP="00D16212">
            <w:pPr>
              <w:spacing w:after="0" w:line="240" w:lineRule="auto"/>
              <w:rPr>
                <w:rFonts w:ascii="Palatino Linotype" w:eastAsia="Times New Roman" w:hAnsi="Palatino Linotype" w:cs="Times New Roman"/>
                <w:sz w:val="18"/>
                <w:szCs w:val="18"/>
              </w:rPr>
            </w:pPr>
          </w:p>
          <w:p w:rsidR="00BD38C6" w:rsidRPr="002D52DA" w:rsidRDefault="00BD38C6" w:rsidP="00D16212">
            <w:pPr>
              <w:spacing w:after="0" w:line="240" w:lineRule="auto"/>
              <w:jc w:val="center"/>
              <w:rPr>
                <w:rFonts w:ascii="Palatino Linotype" w:eastAsia="Times New Roman" w:hAnsi="Palatino Linotype" w:cs="Times New Roman"/>
                <w:sz w:val="18"/>
                <w:szCs w:val="18"/>
              </w:rPr>
            </w:pP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ShM</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21 dhjetor 2015</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UNDP</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bCs/>
                <w:color w:val="000000"/>
                <w:sz w:val="18"/>
                <w:szCs w:val="18"/>
              </w:rPr>
            </w:pPr>
            <w:r w:rsidRPr="002D52DA">
              <w:rPr>
                <w:rFonts w:ascii="Palatino Linotype" w:eastAsia="MS Mincho" w:hAnsi="Palatino Linotype" w:cs="Times New Roman"/>
                <w:sz w:val="18"/>
                <w:szCs w:val="18"/>
              </w:rPr>
              <w:t>Roli i sistemit të drejtësisë në mbrojtjen dhe promovimin e standardeve të barazisë dhe mosdiskriminimit gjinor. Roli i Shkollës së Magjistraturës përmes programit të trajnimit vazhdues, vlerësim i nevojave në këto aspekte.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 xml:space="preserve">Fond i menaxhuar nga ShM </w:t>
            </w:r>
          </w:p>
        </w:tc>
      </w:tr>
      <w:tr w:rsidR="00BD38C6" w:rsidRPr="002D52DA" w:rsidTr="00BD38C6">
        <w:trPr>
          <w:trHeight w:val="146"/>
        </w:trPr>
        <w:tc>
          <w:tcPr>
            <w:tcW w:w="883"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b/>
                <w:color w:val="632423"/>
                <w:sz w:val="18"/>
                <w:szCs w:val="18"/>
                <w:u w:val="wave"/>
              </w:rPr>
              <w:t>JANAR 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3974" w:type="dxa"/>
          </w:tcPr>
          <w:p w:rsidR="00BD38C6" w:rsidRPr="002D52DA" w:rsidRDefault="00BD38C6" w:rsidP="00D16212">
            <w:pPr>
              <w:spacing w:after="0" w:line="240" w:lineRule="auto"/>
              <w:jc w:val="center"/>
              <w:rPr>
                <w:rFonts w:ascii="Palatino Linotype" w:eastAsia="Batang" w:hAnsi="Palatino Linotype" w:cs="Times New Roman"/>
                <w:sz w:val="18"/>
                <w:szCs w:val="18"/>
              </w:rPr>
            </w:pP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21 janar 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PAMECA</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color w:val="000000"/>
                <w:sz w:val="18"/>
                <w:szCs w:val="18"/>
              </w:rPr>
            </w:pPr>
            <w:r w:rsidRPr="002D52DA">
              <w:rPr>
                <w:rFonts w:ascii="Palatino Linotype" w:eastAsia="Times New Roman" w:hAnsi="Palatino Linotype" w:cs="Times New Roman"/>
                <w:color w:val="000000"/>
                <w:sz w:val="18"/>
                <w:szCs w:val="18"/>
              </w:rPr>
              <w:t>Pavlefshmëria dhe mospërdorimi i provave atipike në një procedim penal.</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b/>
                <w:color w:val="632423"/>
                <w:sz w:val="18"/>
                <w:szCs w:val="18"/>
                <w:u w:val="wave"/>
              </w:rPr>
            </w:pPr>
            <w:r w:rsidRPr="002D52DA">
              <w:rPr>
                <w:rFonts w:ascii="Palatino Linotype" w:eastAsia="Batang" w:hAnsi="Palatino Linotype" w:cs="Times New Roman"/>
                <w:b/>
                <w:color w:val="632423"/>
                <w:sz w:val="18"/>
                <w:szCs w:val="18"/>
                <w:u w:val="wave"/>
              </w:rPr>
              <w:t xml:space="preserve">SHKURT </w:t>
            </w:r>
          </w:p>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b/>
                <w:color w:val="632423"/>
                <w:sz w:val="18"/>
                <w:szCs w:val="18"/>
                <w:u w:val="wave"/>
              </w:rPr>
              <w:t>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3974" w:type="dxa"/>
          </w:tcPr>
          <w:p w:rsidR="00BD38C6" w:rsidRPr="002D52DA" w:rsidRDefault="00BD38C6" w:rsidP="00D16212">
            <w:pPr>
              <w:spacing w:after="0" w:line="240" w:lineRule="auto"/>
              <w:jc w:val="center"/>
              <w:rPr>
                <w:rFonts w:ascii="Palatino Linotype" w:eastAsia="Batang" w:hAnsi="Palatino Linotype" w:cs="Times New Roman"/>
                <w:sz w:val="18"/>
                <w:szCs w:val="18"/>
              </w:rPr>
            </w:pP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3 shkurt 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Fondacioni Slynn</w:t>
            </w:r>
          </w:p>
        </w:tc>
        <w:tc>
          <w:tcPr>
            <w:tcW w:w="3974" w:type="dxa"/>
          </w:tcPr>
          <w:p w:rsidR="00BD38C6" w:rsidRPr="002D52DA" w:rsidRDefault="00BD38C6" w:rsidP="00D16212">
            <w:pPr>
              <w:spacing w:after="0" w:line="240" w:lineRule="auto"/>
              <w:jc w:val="both"/>
              <w:rPr>
                <w:rFonts w:ascii="Palatino Linotype" w:eastAsia="Batang" w:hAnsi="Palatino Linotype" w:cs="Times New Roman"/>
                <w:sz w:val="18"/>
                <w:szCs w:val="18"/>
                <w:u w:val="wave"/>
              </w:rPr>
            </w:pPr>
            <w:r w:rsidRPr="002D52DA">
              <w:rPr>
                <w:rFonts w:ascii="Palatino Linotype" w:eastAsia="Times New Roman" w:hAnsi="Palatino Linotype" w:cs="Times New Roman"/>
                <w:sz w:val="18"/>
                <w:szCs w:val="18"/>
              </w:rPr>
              <w:t>Formim Fillestar: Etika gjyqësore, parimet, respektimi i solemnitetit në drejtim të etikës gjyqësore.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rPr>
              <w:t>4 shkurt 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Fondacioni Slynn</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sz w:val="18"/>
                <w:szCs w:val="18"/>
              </w:rPr>
            </w:pPr>
            <w:r w:rsidRPr="002D52DA">
              <w:rPr>
                <w:rFonts w:ascii="Palatino Linotype" w:eastAsia="Times New Roman" w:hAnsi="Palatino Linotype" w:cs="Times New Roman"/>
                <w:sz w:val="18"/>
                <w:szCs w:val="18"/>
              </w:rPr>
              <w:t>Etika gjyqësore, parimet, respektimi i solemnitetit në drejtim të etikës gjyqësore.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5 shkurt 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Fondacioni Slynn</w:t>
            </w:r>
          </w:p>
        </w:tc>
        <w:tc>
          <w:tcPr>
            <w:tcW w:w="3974" w:type="dxa"/>
          </w:tcPr>
          <w:p w:rsidR="00BD38C6" w:rsidRPr="002D52DA" w:rsidRDefault="00BD38C6" w:rsidP="00D16212">
            <w:pPr>
              <w:spacing w:after="0" w:line="240" w:lineRule="auto"/>
              <w:jc w:val="both"/>
              <w:rPr>
                <w:rFonts w:ascii="Palatino Linotype" w:eastAsia="Batang" w:hAnsi="Palatino Linotype" w:cs="Times New Roman"/>
                <w:sz w:val="18"/>
                <w:szCs w:val="18"/>
                <w:u w:val="wave"/>
              </w:rPr>
            </w:pPr>
            <w:r w:rsidRPr="002D52DA">
              <w:rPr>
                <w:rFonts w:ascii="Palatino Linotype" w:eastAsia="Times New Roman" w:hAnsi="Palatino Linotype" w:cs="Times New Roman"/>
                <w:sz w:val="18"/>
                <w:szCs w:val="18"/>
              </w:rPr>
              <w:t>Etika gjyqësore, parimet, respektimi i solemnitetit në drejtim të etikës gjyqësore.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9-10 shkurt 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QNL/</w:t>
            </w:r>
          </w:p>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NHC</w:t>
            </w:r>
          </w:p>
        </w:tc>
        <w:tc>
          <w:tcPr>
            <w:tcW w:w="3974" w:type="dxa"/>
          </w:tcPr>
          <w:p w:rsidR="00BD38C6" w:rsidRPr="002D52DA" w:rsidRDefault="00BD38C6" w:rsidP="00D16212">
            <w:pPr>
              <w:spacing w:after="0" w:line="240" w:lineRule="auto"/>
              <w:rPr>
                <w:rFonts w:ascii="Palatino Linotype" w:eastAsia="Times New Roman" w:hAnsi="Palatino Linotype" w:cs="Tahoma"/>
                <w:sz w:val="18"/>
                <w:szCs w:val="18"/>
                <w:lang w:eastAsia="hr-HR"/>
              </w:rPr>
            </w:pPr>
            <w:r w:rsidRPr="002D52DA">
              <w:rPr>
                <w:rFonts w:ascii="Palatino Linotype" w:eastAsia="Times New Roman" w:hAnsi="Palatino Linotype" w:cs="Tahoma"/>
                <w:sz w:val="18"/>
                <w:szCs w:val="18"/>
                <w:lang w:eastAsia="hr-HR"/>
              </w:rPr>
              <w:t>Dëgjimi i viktimave dhe grupeve vulnerabël</w:t>
            </w:r>
            <w:r w:rsidRPr="002D52DA">
              <w:rPr>
                <w:rFonts w:ascii="Palatino Linotype" w:eastAsia="Times New Roman" w:hAnsi="Palatino Linotype" w:cs="Times New Roman"/>
                <w:bCs/>
                <w:color w:val="000000"/>
                <w:sz w:val="18"/>
                <w:szCs w:val="18"/>
              </w:rPr>
              <w:t>, viktima të trafikimit të qenieve njerëzore.</w:t>
            </w:r>
          </w:p>
          <w:p w:rsidR="00BD38C6" w:rsidRPr="002D52DA" w:rsidRDefault="00BD38C6" w:rsidP="00D16212">
            <w:pPr>
              <w:spacing w:after="0" w:line="240" w:lineRule="auto"/>
              <w:jc w:val="both"/>
              <w:rPr>
                <w:rFonts w:ascii="Palatino Linotype" w:eastAsia="MS Mincho" w:hAnsi="Palatino Linotype" w:cs="Times New Roman"/>
                <w:sz w:val="18"/>
                <w:szCs w:val="18"/>
              </w:rPr>
            </w:pPr>
          </w:p>
          <w:p w:rsidR="00BD38C6" w:rsidRPr="002D52DA" w:rsidRDefault="00BD38C6" w:rsidP="00D16212">
            <w:pPr>
              <w:tabs>
                <w:tab w:val="left" w:pos="2805"/>
              </w:tabs>
              <w:spacing w:after="0" w:line="240" w:lineRule="auto"/>
              <w:rPr>
                <w:rFonts w:ascii="Palatino Linotype" w:eastAsia="MS Mincho" w:hAnsi="Palatino Linotype" w:cs="Times New Roman"/>
                <w:sz w:val="18"/>
                <w:szCs w:val="18"/>
              </w:rPr>
            </w:pPr>
            <w:r w:rsidRPr="002D52DA">
              <w:rPr>
                <w:rFonts w:ascii="Palatino Linotype" w:eastAsia="MS Mincho" w:hAnsi="Palatino Linotype" w:cs="Times New Roman"/>
                <w:sz w:val="18"/>
                <w:szCs w:val="18"/>
              </w:rPr>
              <w:tab/>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10-11 shkurt 2016</w:t>
            </w:r>
          </w:p>
          <w:p w:rsidR="00BD38C6" w:rsidRPr="002D52DA" w:rsidRDefault="00BD38C6" w:rsidP="00D16212">
            <w:pPr>
              <w:spacing w:after="0" w:line="240" w:lineRule="auto"/>
              <w:rPr>
                <w:rFonts w:ascii="Palatino Linotype" w:eastAsia="Batang" w:hAnsi="Palatino Linotype" w:cs="Times New Roman"/>
                <w:sz w:val="18"/>
                <w:szCs w:val="18"/>
              </w:rPr>
            </w:pP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sz w:val="18"/>
                <w:szCs w:val="18"/>
                <w:u w:val="wave"/>
              </w:rPr>
              <w:t>Fondacioni Slynn</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sz w:val="18"/>
                <w:szCs w:val="18"/>
              </w:rPr>
            </w:pPr>
            <w:r w:rsidRPr="002D52DA">
              <w:rPr>
                <w:rFonts w:ascii="Palatino Linotype" w:eastAsia="Times New Roman" w:hAnsi="Palatino Linotype" w:cs="Times New Roman"/>
                <w:color w:val="000000"/>
                <w:sz w:val="18"/>
                <w:szCs w:val="18"/>
              </w:rPr>
              <w:t>Roli i gjyqtarit kombëtar dhe zbatimin e Legjislacionit të BE-së.</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25-26 shkurt 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ISPL</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color w:val="000000"/>
                <w:sz w:val="18"/>
                <w:szCs w:val="18"/>
              </w:rPr>
            </w:pPr>
            <w:r w:rsidRPr="002D52DA">
              <w:rPr>
                <w:rFonts w:ascii="Palatino Linotype" w:eastAsia="Times New Roman" w:hAnsi="Palatino Linotype" w:cs="Times New Roman"/>
                <w:color w:val="000000"/>
                <w:sz w:val="18"/>
                <w:szCs w:val="18"/>
              </w:rPr>
              <w:t>E drejta e internetit. Çështje rregullatore dhe tregtare.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694"/>
        </w:trPr>
        <w:tc>
          <w:tcPr>
            <w:tcW w:w="883"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b/>
                <w:color w:val="632423"/>
                <w:sz w:val="18"/>
                <w:szCs w:val="18"/>
                <w:u w:val="wave"/>
              </w:rPr>
            </w:pPr>
            <w:r w:rsidRPr="002D52DA">
              <w:rPr>
                <w:rFonts w:ascii="Palatino Linotype" w:eastAsia="Batang" w:hAnsi="Palatino Linotype" w:cs="Times New Roman"/>
                <w:b/>
                <w:color w:val="632423"/>
                <w:sz w:val="18"/>
                <w:szCs w:val="18"/>
                <w:u w:val="wave"/>
              </w:rPr>
              <w:t>MARS</w:t>
            </w:r>
          </w:p>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b/>
                <w:color w:val="632423"/>
                <w:sz w:val="18"/>
                <w:szCs w:val="18"/>
                <w:u w:val="wave"/>
              </w:rPr>
              <w:t>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3974" w:type="dxa"/>
          </w:tcPr>
          <w:p w:rsidR="00BD38C6" w:rsidRPr="002D52DA" w:rsidRDefault="00BD38C6" w:rsidP="00D16212">
            <w:pPr>
              <w:spacing w:after="0" w:line="240" w:lineRule="auto"/>
              <w:jc w:val="center"/>
              <w:rPr>
                <w:rFonts w:ascii="Palatino Linotype" w:eastAsia="Batang" w:hAnsi="Palatino Linotype" w:cs="Times New Roman"/>
                <w:sz w:val="18"/>
                <w:szCs w:val="18"/>
              </w:rPr>
            </w:pPr>
          </w:p>
        </w:tc>
        <w:tc>
          <w:tcPr>
            <w:tcW w:w="2981" w:type="dxa"/>
          </w:tcPr>
          <w:p w:rsidR="00BD38C6" w:rsidRPr="002D52DA" w:rsidRDefault="00BD38C6" w:rsidP="00D16212">
            <w:pPr>
              <w:spacing w:after="0" w:line="240" w:lineRule="auto"/>
              <w:jc w:val="center"/>
              <w:rPr>
                <w:rFonts w:ascii="Palatino Linotype" w:eastAsia="Batang" w:hAnsi="Palatino Linotype" w:cs="Times New Roman"/>
                <w:i/>
                <w:sz w:val="18"/>
                <w:szCs w:val="18"/>
                <w:u w:val="wave"/>
              </w:rPr>
            </w:pP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16-17 mars 2016</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sz w:val="18"/>
                <w:szCs w:val="18"/>
                <w:u w:val="wave"/>
              </w:rPr>
              <w:t>Fondacioni Slynn</w:t>
            </w:r>
          </w:p>
        </w:tc>
        <w:tc>
          <w:tcPr>
            <w:tcW w:w="3974" w:type="dxa"/>
          </w:tcPr>
          <w:p w:rsidR="00BD38C6" w:rsidRPr="002D52DA" w:rsidRDefault="00BD38C6" w:rsidP="00D16212">
            <w:pPr>
              <w:spacing w:after="0" w:line="240" w:lineRule="auto"/>
              <w:jc w:val="both"/>
              <w:rPr>
                <w:rFonts w:ascii="Palatino Linotype" w:eastAsia="Batang" w:hAnsi="Palatino Linotype" w:cs="Times New Roman"/>
                <w:sz w:val="18"/>
                <w:szCs w:val="18"/>
              </w:rPr>
            </w:pPr>
            <w:r w:rsidRPr="002D52DA">
              <w:rPr>
                <w:rFonts w:ascii="Palatino Linotype" w:eastAsia="Batang" w:hAnsi="Palatino Linotype" w:cs="Times New Roman"/>
                <w:sz w:val="18"/>
                <w:szCs w:val="18"/>
              </w:rPr>
              <w:t>Të drejtat e njeriut.</w:t>
            </w:r>
          </w:p>
          <w:p w:rsidR="00BD38C6" w:rsidRPr="002D52DA" w:rsidRDefault="00BD38C6" w:rsidP="00D16212">
            <w:pPr>
              <w:tabs>
                <w:tab w:val="left" w:pos="1995"/>
              </w:tabs>
              <w:spacing w:after="0" w:line="240" w:lineRule="auto"/>
              <w:rPr>
                <w:rFonts w:ascii="Palatino Linotype" w:eastAsia="Batang" w:hAnsi="Palatino Linotype" w:cs="Times New Roman"/>
                <w:sz w:val="18"/>
                <w:szCs w:val="18"/>
              </w:rPr>
            </w:pPr>
          </w:p>
        </w:tc>
        <w:tc>
          <w:tcPr>
            <w:tcW w:w="2981" w:type="dxa"/>
          </w:tcPr>
          <w:p w:rsidR="00BD38C6" w:rsidRPr="002D52DA" w:rsidRDefault="00BD38C6" w:rsidP="00D16212">
            <w:pPr>
              <w:spacing w:after="0" w:line="240" w:lineRule="auto"/>
              <w:jc w:val="center"/>
              <w:rPr>
                <w:rFonts w:ascii="Palatino Linotype" w:eastAsia="Batang" w:hAnsi="Palatino Linotype" w:cs="Times New Roman"/>
                <w:b/>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23 mars 2016</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i/>
                <w:sz w:val="18"/>
                <w:szCs w:val="18"/>
                <w:u w:val="wave"/>
              </w:rPr>
              <w:t>Qendra Evropiane</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sz w:val="18"/>
                <w:szCs w:val="18"/>
              </w:rPr>
            </w:pPr>
            <w:r w:rsidRPr="002D52DA">
              <w:rPr>
                <w:rFonts w:ascii="Palatino Linotype" w:eastAsia="Times New Roman" w:hAnsi="Palatino Linotype" w:cs="Times New Roman"/>
                <w:sz w:val="18"/>
                <w:szCs w:val="18"/>
              </w:rPr>
              <w:t>Etika dhe komunikimi në seancat gjyqësore dhe sjellja me palët. Solemniteti i gjykimit dhe marrja e masave për përgatitjen e seancës gjyqësore.(administrata gjyqësore)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24 mars 2016</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i/>
                <w:sz w:val="18"/>
                <w:szCs w:val="18"/>
                <w:u w:val="wave"/>
              </w:rPr>
              <w:t>Qendra Evropiane</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sz w:val="18"/>
                <w:szCs w:val="18"/>
              </w:rPr>
            </w:pPr>
            <w:r w:rsidRPr="002D52DA">
              <w:rPr>
                <w:rFonts w:ascii="Palatino Linotype" w:eastAsia="Times New Roman" w:hAnsi="Palatino Linotype" w:cs="Times New Roman"/>
                <w:sz w:val="18"/>
                <w:szCs w:val="18"/>
              </w:rPr>
              <w:t>Etika dhe komunikimi në seancat gjyqësore dhe sjellja me palët. Solemniteti i gjykimit dhe marrja e masave për përgatitjen e seancës gjyqësore.(administrata gjyqësore)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29-30 mars 2016</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i/>
                <w:sz w:val="18"/>
                <w:szCs w:val="18"/>
                <w:u w:val="wave"/>
              </w:rPr>
              <w:t>KSHH</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sz w:val="18"/>
                <w:szCs w:val="18"/>
              </w:rPr>
            </w:pPr>
            <w:r w:rsidRPr="002D52DA">
              <w:rPr>
                <w:rFonts w:ascii="Palatino Linotype" w:eastAsia="Times New Roman" w:hAnsi="Palatino Linotype" w:cs="Times New Roman"/>
                <w:sz w:val="18"/>
                <w:szCs w:val="18"/>
              </w:rPr>
              <w:t>Kuptimi dhe zbatimi i drejtë i nenit 3 të KEDNJ dhe legjislacionit të brendshëm në këtë fushë.</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30 mars 2016</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i/>
                <w:sz w:val="18"/>
                <w:szCs w:val="18"/>
                <w:u w:val="wave"/>
              </w:rPr>
              <w:t>EURALIUS</w:t>
            </w:r>
          </w:p>
        </w:tc>
        <w:tc>
          <w:tcPr>
            <w:tcW w:w="3974" w:type="dxa"/>
          </w:tcPr>
          <w:p w:rsidR="00BD38C6" w:rsidRPr="002D52DA" w:rsidRDefault="00BD38C6" w:rsidP="00D16212">
            <w:pPr>
              <w:spacing w:after="0" w:line="240" w:lineRule="auto"/>
              <w:jc w:val="both"/>
              <w:rPr>
                <w:rFonts w:ascii="Times New Roman" w:eastAsia="Times New Roman" w:hAnsi="Times New Roman" w:cs="Times New Roman"/>
                <w:sz w:val="18"/>
                <w:szCs w:val="18"/>
                <w:lang w:eastAsia="ja-JP"/>
              </w:rPr>
            </w:pPr>
            <w:r w:rsidRPr="002D52DA">
              <w:rPr>
                <w:rFonts w:ascii="Palatino Linotype" w:eastAsia="Times New Roman" w:hAnsi="Palatino Linotype" w:cs="Times New Roman"/>
                <w:sz w:val="18"/>
                <w:szCs w:val="18"/>
              </w:rPr>
              <w:t>Prezantimi i modelit kroat i Zyr</w:t>
            </w:r>
            <w:r w:rsidRPr="002D52DA">
              <w:rPr>
                <w:rFonts w:ascii="Times New Roman" w:eastAsia="Times New Roman" w:hAnsi="Times New Roman" w:cs="Times New Roman"/>
                <w:sz w:val="18"/>
                <w:szCs w:val="18"/>
                <w:lang w:eastAsia="ja-JP"/>
              </w:rPr>
              <w:t>ës së Prokurorisë për shtypjen e korrupsionit dhe krimin e organizuar, kontrolli i sigurisë për gjyqtarët dhe prokurorët.</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31 mars 2016</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i/>
                <w:sz w:val="18"/>
                <w:szCs w:val="18"/>
                <w:u w:val="wave"/>
              </w:rPr>
              <w:t>EURALIUS</w:t>
            </w:r>
          </w:p>
        </w:tc>
        <w:tc>
          <w:tcPr>
            <w:tcW w:w="3974" w:type="dxa"/>
          </w:tcPr>
          <w:p w:rsidR="00BD38C6" w:rsidRPr="002D52DA" w:rsidRDefault="00BD38C6" w:rsidP="00D16212">
            <w:pPr>
              <w:spacing w:after="0" w:line="240" w:lineRule="auto"/>
              <w:jc w:val="both"/>
              <w:rPr>
                <w:rFonts w:ascii="Times New Roman" w:eastAsia="Times New Roman" w:hAnsi="Times New Roman" w:cs="Times New Roman"/>
                <w:sz w:val="18"/>
                <w:szCs w:val="18"/>
                <w:lang w:eastAsia="ja-JP"/>
              </w:rPr>
            </w:pPr>
            <w:r w:rsidRPr="002D52DA">
              <w:rPr>
                <w:rFonts w:ascii="Palatino Linotype" w:eastAsia="Times New Roman" w:hAnsi="Palatino Linotype" w:cs="Times New Roman"/>
                <w:sz w:val="18"/>
                <w:szCs w:val="18"/>
              </w:rPr>
              <w:t>Prezantimi i modelit kroat i Zyr</w:t>
            </w:r>
            <w:r w:rsidRPr="002D52DA">
              <w:rPr>
                <w:rFonts w:ascii="Times New Roman" w:eastAsia="Times New Roman" w:hAnsi="Times New Roman" w:cs="Times New Roman"/>
                <w:sz w:val="18"/>
                <w:szCs w:val="18"/>
                <w:lang w:eastAsia="ja-JP"/>
              </w:rPr>
              <w:t>ës së Prokurorisë për shtypjen e korrupsionit dhe krimin e organizuar, kontrolli i sigurisë për gjyqtarët dhe prokurorët.</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b/>
                <w:color w:val="632423"/>
                <w:sz w:val="18"/>
                <w:szCs w:val="18"/>
                <w:u w:val="wave"/>
              </w:rPr>
            </w:pPr>
            <w:r w:rsidRPr="002D52DA">
              <w:rPr>
                <w:rFonts w:ascii="Palatino Linotype" w:eastAsia="Batang" w:hAnsi="Palatino Linotype" w:cs="Times New Roman"/>
                <w:b/>
                <w:color w:val="632423"/>
                <w:sz w:val="18"/>
                <w:szCs w:val="18"/>
                <w:u w:val="wave"/>
              </w:rPr>
              <w:t>PRILL</w:t>
            </w:r>
          </w:p>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b/>
                <w:color w:val="632423"/>
                <w:sz w:val="18"/>
                <w:szCs w:val="18"/>
                <w:u w:val="wave"/>
              </w:rPr>
              <w:t>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3974" w:type="dxa"/>
          </w:tcPr>
          <w:p w:rsidR="00BD38C6" w:rsidRPr="002D52DA" w:rsidRDefault="00BD38C6" w:rsidP="00D16212">
            <w:pPr>
              <w:spacing w:after="0" w:line="240" w:lineRule="auto"/>
              <w:jc w:val="center"/>
              <w:rPr>
                <w:rFonts w:ascii="Palatino Linotype" w:eastAsia="Batang" w:hAnsi="Palatino Linotype" w:cs="Times New Roman"/>
                <w:sz w:val="18"/>
                <w:szCs w:val="18"/>
              </w:rPr>
            </w:pP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11-12 prill 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CARITAS</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sz w:val="18"/>
                <w:szCs w:val="18"/>
                <w:lang w:eastAsia="en-GB"/>
              </w:rPr>
            </w:pPr>
            <w:r w:rsidRPr="002D52DA">
              <w:rPr>
                <w:rFonts w:ascii="Palatino Linotype" w:eastAsia="Times New Roman" w:hAnsi="Palatino Linotype" w:cs="Times New Roman"/>
                <w:sz w:val="18"/>
                <w:szCs w:val="18"/>
                <w:lang w:eastAsia="en-GB"/>
              </w:rPr>
              <w:t>Trafikimi i qenieve njerëzore dhe dallimi nga veprat e tjera penale: Aspekte të hetimit dhe të gjykimit.”</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11 prill 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IPA</w:t>
            </w:r>
          </w:p>
        </w:tc>
        <w:tc>
          <w:tcPr>
            <w:tcW w:w="3974" w:type="dxa"/>
          </w:tcPr>
          <w:p w:rsidR="00BD38C6" w:rsidRPr="002D52DA" w:rsidRDefault="00BD38C6" w:rsidP="00D16212">
            <w:pPr>
              <w:spacing w:after="0" w:line="240" w:lineRule="auto"/>
              <w:rPr>
                <w:rFonts w:ascii="Palatino Linotype" w:eastAsia="MS Mincho" w:hAnsi="Palatino Linotype" w:cs="Times New Roman"/>
                <w:sz w:val="20"/>
                <w:szCs w:val="20"/>
              </w:rPr>
            </w:pPr>
            <w:r w:rsidRPr="002D52DA">
              <w:rPr>
                <w:rFonts w:ascii="Palatino Linotype" w:eastAsia="MS Mincho" w:hAnsi="Palatino Linotype" w:cs="Times New Roman"/>
                <w:sz w:val="20"/>
                <w:szCs w:val="20"/>
              </w:rPr>
              <w:t>Institute të së drejtës procedurale administrative sipas Kodit të ri të Procedurave Administrative.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12 prill 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IPA</w:t>
            </w:r>
          </w:p>
        </w:tc>
        <w:tc>
          <w:tcPr>
            <w:tcW w:w="3974" w:type="dxa"/>
          </w:tcPr>
          <w:p w:rsidR="00BD38C6" w:rsidRPr="002D52DA" w:rsidRDefault="00BD38C6" w:rsidP="00D16212">
            <w:pPr>
              <w:spacing w:after="0" w:line="240" w:lineRule="auto"/>
              <w:rPr>
                <w:rFonts w:ascii="Palatino Linotype" w:eastAsia="MS Mincho" w:hAnsi="Palatino Linotype" w:cs="Times New Roman"/>
                <w:sz w:val="20"/>
                <w:szCs w:val="20"/>
              </w:rPr>
            </w:pPr>
            <w:r w:rsidRPr="002D52DA">
              <w:rPr>
                <w:rFonts w:ascii="Palatino Linotype" w:eastAsia="MS Mincho" w:hAnsi="Palatino Linotype" w:cs="Times New Roman"/>
                <w:sz w:val="20"/>
                <w:szCs w:val="20"/>
              </w:rPr>
              <w:t>Institute të së drejtës procedurale administrative sipas Kodit të ri të Procedurave Administrative.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13 prill 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IPA</w:t>
            </w:r>
          </w:p>
        </w:tc>
        <w:tc>
          <w:tcPr>
            <w:tcW w:w="3974" w:type="dxa"/>
          </w:tcPr>
          <w:p w:rsidR="00BD38C6" w:rsidRPr="002D52DA" w:rsidRDefault="00BD38C6" w:rsidP="00D16212">
            <w:pPr>
              <w:spacing w:after="0" w:line="240" w:lineRule="auto"/>
              <w:rPr>
                <w:rFonts w:ascii="Palatino Linotype" w:eastAsia="MS Mincho" w:hAnsi="Palatino Linotype" w:cs="Times New Roman"/>
                <w:sz w:val="20"/>
                <w:szCs w:val="20"/>
              </w:rPr>
            </w:pPr>
            <w:r w:rsidRPr="002D52DA">
              <w:rPr>
                <w:rFonts w:ascii="Palatino Linotype" w:eastAsia="MS Mincho" w:hAnsi="Palatino Linotype" w:cs="Times New Roman"/>
                <w:sz w:val="20"/>
                <w:szCs w:val="20"/>
              </w:rPr>
              <w:t>Institute të së drejtës procedurale administrative sipas Kodit të ri të Procedurave Administrative.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20 prill 2016</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i/>
                <w:sz w:val="18"/>
                <w:szCs w:val="18"/>
                <w:u w:val="wave"/>
              </w:rPr>
              <w:t>PAMECA</w:t>
            </w:r>
          </w:p>
        </w:tc>
        <w:tc>
          <w:tcPr>
            <w:tcW w:w="3974" w:type="dxa"/>
          </w:tcPr>
          <w:p w:rsidR="00BD38C6" w:rsidRPr="002D52DA" w:rsidRDefault="00BD38C6" w:rsidP="00D16212">
            <w:pPr>
              <w:spacing w:after="0" w:line="240" w:lineRule="auto"/>
              <w:jc w:val="both"/>
              <w:rPr>
                <w:rFonts w:ascii="Palatino Linotype" w:eastAsia="Batang" w:hAnsi="Palatino Linotype" w:cs="Times New Roman"/>
                <w:sz w:val="18"/>
                <w:szCs w:val="18"/>
              </w:rPr>
            </w:pPr>
            <w:r w:rsidRPr="002D52DA">
              <w:rPr>
                <w:rFonts w:ascii="Palatino Linotype" w:eastAsia="Batang" w:hAnsi="Palatino Linotype" w:cs="Times New Roman"/>
                <w:sz w:val="18"/>
                <w:szCs w:val="18"/>
              </w:rPr>
              <w:t xml:space="preserve">Teknikat e hetimit pro-aktiv në rastet e hetimit të trafikimit </w:t>
            </w:r>
          </w:p>
          <w:p w:rsidR="00BD38C6" w:rsidRPr="002D52DA" w:rsidRDefault="00BD38C6" w:rsidP="00D16212">
            <w:pPr>
              <w:spacing w:after="0" w:line="240" w:lineRule="auto"/>
              <w:jc w:val="both"/>
              <w:rPr>
                <w:rFonts w:ascii="Palatino Linotype" w:eastAsia="Batang" w:hAnsi="Palatino Linotype" w:cs="Times New Roman"/>
                <w:sz w:val="18"/>
                <w:szCs w:val="18"/>
              </w:rPr>
            </w:pPr>
            <w:r w:rsidRPr="002D52DA">
              <w:rPr>
                <w:rFonts w:ascii="Palatino Linotype" w:eastAsia="Batang" w:hAnsi="Palatino Linotype" w:cs="Times New Roman"/>
                <w:sz w:val="18"/>
                <w:szCs w:val="18"/>
              </w:rPr>
              <w:t>të kryer nga organizatat kriminale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rPr>
              <w:t>20-21 prill 2016</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color w:val="000000"/>
                <w:sz w:val="18"/>
                <w:szCs w:val="18"/>
              </w:rPr>
            </w:pPr>
            <w:r w:rsidRPr="002D52DA">
              <w:rPr>
                <w:rFonts w:ascii="Palatino Linotype" w:eastAsia="Times New Roman" w:hAnsi="Palatino Linotype" w:cs="Times New Roman"/>
                <w:color w:val="000000"/>
                <w:sz w:val="18"/>
                <w:szCs w:val="18"/>
              </w:rPr>
              <w:t xml:space="preserve">Kuptimi kushtetues dhe ligjor i parashikimit të detyrueshmërisë për nisjen e procesit penal </w:t>
            </w:r>
            <w:r w:rsidRPr="002D52DA">
              <w:rPr>
                <w:rFonts w:ascii="Palatino Linotype" w:eastAsia="Times New Roman" w:hAnsi="Palatino Linotype" w:cs="Times New Roman"/>
                <w:color w:val="000000"/>
                <w:sz w:val="18"/>
                <w:szCs w:val="18"/>
              </w:rPr>
              <w:lastRenderedPageBreak/>
              <w:t>(regjistrimin e veprave penale) dhe shkalla e ndikimit të tij në ushtrimin e ndjekjes penale.</w:t>
            </w:r>
          </w:p>
        </w:tc>
        <w:tc>
          <w:tcPr>
            <w:tcW w:w="2981" w:type="dxa"/>
          </w:tcPr>
          <w:p w:rsidR="00BD38C6" w:rsidRPr="002D52DA" w:rsidRDefault="00BD38C6" w:rsidP="00D16212">
            <w:pPr>
              <w:spacing w:after="0" w:line="240" w:lineRule="auto"/>
              <w:jc w:val="center"/>
              <w:rPr>
                <w:rFonts w:ascii="Times New Roman" w:eastAsia="MS Mincho" w:hAnsi="Times New Roman" w:cs="Times New Roman"/>
                <w:sz w:val="24"/>
                <w:szCs w:val="24"/>
              </w:rPr>
            </w:pPr>
            <w:r w:rsidRPr="002D52DA">
              <w:rPr>
                <w:rFonts w:ascii="Palatino Linotype" w:eastAsia="Batang" w:hAnsi="Palatino Linotype" w:cs="Times New Roman"/>
                <w:sz w:val="18"/>
                <w:szCs w:val="18"/>
                <w:u w:val="wave"/>
              </w:rPr>
              <w:lastRenderedPageBreak/>
              <w:t>ShMFond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 xml:space="preserve">21-22 prill </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i/>
                <w:sz w:val="18"/>
                <w:szCs w:val="18"/>
                <w:u w:val="wave"/>
              </w:rPr>
              <w:t>AK/UNCTAD</w:t>
            </w:r>
          </w:p>
        </w:tc>
        <w:tc>
          <w:tcPr>
            <w:tcW w:w="3974" w:type="dxa"/>
          </w:tcPr>
          <w:p w:rsidR="00BD38C6" w:rsidRPr="002D52DA" w:rsidRDefault="00BD38C6" w:rsidP="00D16212">
            <w:pPr>
              <w:spacing w:after="0" w:line="240" w:lineRule="auto"/>
              <w:jc w:val="both"/>
              <w:rPr>
                <w:rFonts w:ascii="Times New Roman" w:eastAsia="Times New Roman" w:hAnsi="Times New Roman" w:cs="Times New Roman"/>
                <w:color w:val="000000"/>
                <w:sz w:val="18"/>
                <w:szCs w:val="18"/>
                <w:lang w:eastAsia="ja-JP"/>
              </w:rPr>
            </w:pPr>
            <w:r w:rsidRPr="002D52DA">
              <w:rPr>
                <w:rFonts w:ascii="Palatino Linotype" w:eastAsia="Times New Roman" w:hAnsi="Palatino Linotype" w:cs="Times New Roman"/>
                <w:color w:val="000000"/>
                <w:sz w:val="18"/>
                <w:szCs w:val="18"/>
              </w:rPr>
              <w:t>Barra e provës n</w:t>
            </w:r>
            <w:r w:rsidRPr="002D52DA">
              <w:rPr>
                <w:rFonts w:ascii="Times New Roman" w:eastAsia="Times New Roman" w:hAnsi="Times New Roman" w:cs="Times New Roman"/>
                <w:color w:val="000000"/>
                <w:sz w:val="18"/>
                <w:szCs w:val="18"/>
                <w:lang w:eastAsia="ja-JP"/>
              </w:rPr>
              <w:t>ë çështjet e konkurrencës, procedurat para gjykatës.</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26-28 prill 2016</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i/>
                <w:sz w:val="18"/>
                <w:szCs w:val="18"/>
                <w:u w:val="wave"/>
              </w:rPr>
              <w:t>EURALIUS</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sz w:val="18"/>
                <w:szCs w:val="18"/>
                <w:lang w:eastAsia="en-GB"/>
              </w:rPr>
            </w:pPr>
            <w:r w:rsidRPr="002D52DA">
              <w:rPr>
                <w:rFonts w:ascii="Palatino Linotype" w:eastAsia="Times New Roman" w:hAnsi="Palatino Linotype" w:cs="Times New Roman"/>
                <w:sz w:val="18"/>
                <w:szCs w:val="18"/>
                <w:lang w:eastAsia="en-GB"/>
              </w:rPr>
              <w:t>Gjyqësori dhe media.</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292"/>
        </w:trPr>
        <w:tc>
          <w:tcPr>
            <w:tcW w:w="883"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b/>
                <w:color w:val="632423"/>
                <w:sz w:val="18"/>
                <w:szCs w:val="18"/>
                <w:u w:val="wave"/>
              </w:rPr>
            </w:pPr>
            <w:r w:rsidRPr="002D52DA">
              <w:rPr>
                <w:rFonts w:ascii="Palatino Linotype" w:eastAsia="Batang" w:hAnsi="Palatino Linotype" w:cs="Times New Roman"/>
                <w:b/>
                <w:color w:val="632423"/>
                <w:sz w:val="18"/>
                <w:szCs w:val="18"/>
                <w:u w:val="wave"/>
              </w:rPr>
              <w:t>MAJ</w:t>
            </w:r>
          </w:p>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b/>
                <w:color w:val="632423"/>
                <w:sz w:val="18"/>
                <w:szCs w:val="18"/>
                <w:u w:val="wave"/>
              </w:rPr>
              <w:t>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3974" w:type="dxa"/>
          </w:tcPr>
          <w:p w:rsidR="00BD38C6" w:rsidRPr="002D52DA" w:rsidRDefault="00BD38C6" w:rsidP="00D16212">
            <w:pPr>
              <w:spacing w:after="0" w:line="240" w:lineRule="auto"/>
              <w:jc w:val="center"/>
              <w:rPr>
                <w:rFonts w:ascii="Palatino Linotype" w:eastAsia="Batang" w:hAnsi="Palatino Linotype" w:cs="Times New Roman"/>
                <w:sz w:val="18"/>
                <w:szCs w:val="18"/>
              </w:rPr>
            </w:pP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 xml:space="preserve">11-12 maj </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IFC</w:t>
            </w:r>
          </w:p>
        </w:tc>
        <w:tc>
          <w:tcPr>
            <w:tcW w:w="3974" w:type="dxa"/>
          </w:tcPr>
          <w:p w:rsidR="00BD38C6" w:rsidRPr="002D52DA" w:rsidRDefault="00BD38C6" w:rsidP="00D16212">
            <w:pPr>
              <w:shd w:val="clear" w:color="auto" w:fill="FFFFFF"/>
              <w:spacing w:after="0" w:line="240" w:lineRule="auto"/>
              <w:jc w:val="both"/>
              <w:rPr>
                <w:rFonts w:ascii="Palatino Linotype" w:eastAsia="Times New Roman" w:hAnsi="Palatino Linotype" w:cs="Times New Roman"/>
                <w:color w:val="000000"/>
                <w:sz w:val="18"/>
                <w:szCs w:val="18"/>
              </w:rPr>
            </w:pPr>
            <w:r w:rsidRPr="002D52DA">
              <w:rPr>
                <w:rFonts w:ascii="Palatino Linotype" w:eastAsia="Times New Roman" w:hAnsi="Palatino Linotype" w:cs="Times New Roman"/>
                <w:color w:val="000000"/>
                <w:sz w:val="18"/>
                <w:szCs w:val="18"/>
              </w:rPr>
              <w:t>Falimenti.</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27 maj</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i/>
                <w:sz w:val="18"/>
                <w:szCs w:val="18"/>
                <w:u w:val="wave"/>
              </w:rPr>
              <w:t>Qendra Evropiane</w:t>
            </w:r>
          </w:p>
        </w:tc>
        <w:tc>
          <w:tcPr>
            <w:tcW w:w="3974" w:type="dxa"/>
          </w:tcPr>
          <w:p w:rsidR="00BD38C6" w:rsidRPr="002D52DA" w:rsidRDefault="00BD38C6" w:rsidP="00D16212">
            <w:pPr>
              <w:shd w:val="clear" w:color="auto" w:fill="FFFFFF"/>
              <w:spacing w:after="0" w:line="240" w:lineRule="auto"/>
              <w:jc w:val="both"/>
              <w:rPr>
                <w:rFonts w:ascii="Palatino Linotype" w:eastAsia="Times New Roman" w:hAnsi="Palatino Linotype" w:cs="Times New Roman"/>
                <w:color w:val="000000"/>
                <w:sz w:val="18"/>
                <w:szCs w:val="18"/>
              </w:rPr>
            </w:pPr>
            <w:r w:rsidRPr="002D52DA">
              <w:rPr>
                <w:rFonts w:ascii="Palatino Linotype" w:eastAsia="Times New Roman" w:hAnsi="Palatino Linotype" w:cs="Times New Roman"/>
                <w:color w:val="000000"/>
                <w:sz w:val="18"/>
                <w:szCs w:val="18"/>
              </w:rPr>
              <w:t>E drejta e azilit. (me gjyqtaret administrative)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30-31 maj 2016</w:t>
            </w:r>
          </w:p>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EURALIUS/</w:t>
            </w:r>
          </w:p>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sz w:val="18"/>
                <w:szCs w:val="18"/>
              </w:rPr>
              <w:t>ShM</w:t>
            </w:r>
          </w:p>
        </w:tc>
        <w:tc>
          <w:tcPr>
            <w:tcW w:w="3974" w:type="dxa"/>
          </w:tcPr>
          <w:p w:rsidR="00BD38C6" w:rsidRPr="002D52DA" w:rsidRDefault="00BD38C6" w:rsidP="00D16212">
            <w:pPr>
              <w:spacing w:after="0" w:line="240" w:lineRule="auto"/>
              <w:jc w:val="both"/>
              <w:rPr>
                <w:rFonts w:ascii="Palatino Linotype" w:eastAsia="Batang" w:hAnsi="Palatino Linotype" w:cs="Times New Roman"/>
                <w:i/>
                <w:sz w:val="18"/>
                <w:szCs w:val="18"/>
                <w:u w:val="wave"/>
              </w:rPr>
            </w:pPr>
            <w:r w:rsidRPr="002D52DA">
              <w:rPr>
                <w:rFonts w:ascii="Palatino Linotype" w:eastAsia="Times New Roman" w:hAnsi="Palatino Linotype" w:cs="Times New Roman"/>
                <w:sz w:val="18"/>
                <w:szCs w:val="18"/>
              </w:rPr>
              <w:t xml:space="preserve">Trajnime mbi </w:t>
            </w:r>
            <w:r w:rsidRPr="002D52DA">
              <w:rPr>
                <w:rFonts w:ascii="Palatino Linotype" w:eastAsia="Times New Roman" w:hAnsi="Palatino Linotype" w:cs="Times New Roman"/>
                <w:i/>
                <w:sz w:val="18"/>
                <w:szCs w:val="18"/>
              </w:rPr>
              <w:t>acquis communautaire</w:t>
            </w:r>
            <w:r w:rsidRPr="002D52DA">
              <w:rPr>
                <w:rFonts w:ascii="Palatino Linotype" w:eastAsia="Times New Roman" w:hAnsi="Palatino Linotype" w:cs="Times New Roman"/>
                <w:sz w:val="18"/>
                <w:szCs w:val="18"/>
              </w:rPr>
              <w:t xml:space="preserve"> për pjesë të reja të legjislacionit shqiptar që kanë përqasur  </w:t>
            </w:r>
            <w:r w:rsidRPr="002D52DA">
              <w:rPr>
                <w:rFonts w:ascii="Palatino Linotype" w:eastAsia="Times New Roman" w:hAnsi="Palatino Linotype" w:cs="Times New Roman"/>
                <w:i/>
                <w:sz w:val="18"/>
                <w:szCs w:val="18"/>
              </w:rPr>
              <w:t>Acquis Communautaire</w:t>
            </w:r>
            <w:r w:rsidRPr="002D52DA">
              <w:rPr>
                <w:rFonts w:ascii="Palatino Linotype" w:eastAsia="Times New Roman" w:hAnsi="Palatino Linotype" w:cs="Times New Roman"/>
                <w:sz w:val="18"/>
                <w:szCs w:val="18"/>
              </w:rPr>
              <w:t>.</w:t>
            </w:r>
          </w:p>
        </w:tc>
        <w:tc>
          <w:tcPr>
            <w:tcW w:w="2981" w:type="dxa"/>
          </w:tcPr>
          <w:p w:rsidR="00BD38C6" w:rsidRPr="002D52DA" w:rsidRDefault="00BD38C6" w:rsidP="00D16212">
            <w:pPr>
              <w:spacing w:after="0" w:line="240" w:lineRule="auto"/>
              <w:jc w:val="center"/>
              <w:rPr>
                <w:rFonts w:ascii="Times New Roman" w:eastAsia="MS Mincho" w:hAnsi="Times New Roman" w:cs="Times New Roman"/>
                <w:sz w:val="24"/>
                <w:szCs w:val="24"/>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b/>
                <w:color w:val="632423"/>
                <w:sz w:val="18"/>
                <w:szCs w:val="18"/>
                <w:u w:val="wave"/>
              </w:rPr>
            </w:pPr>
            <w:r w:rsidRPr="002D52DA">
              <w:rPr>
                <w:rFonts w:ascii="Palatino Linotype" w:eastAsia="Batang" w:hAnsi="Palatino Linotype" w:cs="Times New Roman"/>
                <w:b/>
                <w:color w:val="632423"/>
                <w:sz w:val="18"/>
                <w:szCs w:val="18"/>
                <w:u w:val="wave"/>
              </w:rPr>
              <w:t>QERSHOR</w:t>
            </w:r>
          </w:p>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b/>
                <w:color w:val="632423"/>
                <w:sz w:val="18"/>
                <w:szCs w:val="18"/>
                <w:u w:val="wave"/>
              </w:rPr>
              <w:t>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u w:val="wave"/>
              </w:rPr>
            </w:pPr>
          </w:p>
        </w:tc>
        <w:tc>
          <w:tcPr>
            <w:tcW w:w="3974" w:type="dxa"/>
          </w:tcPr>
          <w:p w:rsidR="00BD38C6" w:rsidRPr="002D52DA" w:rsidRDefault="00BD38C6" w:rsidP="00D16212">
            <w:pPr>
              <w:spacing w:after="0" w:line="240" w:lineRule="auto"/>
              <w:jc w:val="center"/>
              <w:rPr>
                <w:rFonts w:ascii="Palatino Linotype" w:eastAsia="Batang" w:hAnsi="Palatino Linotype" w:cs="Times New Roman"/>
                <w:sz w:val="18"/>
                <w:szCs w:val="18"/>
              </w:rPr>
            </w:pP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10 qershor 2016</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i/>
                <w:sz w:val="18"/>
                <w:szCs w:val="18"/>
                <w:u w:val="wave"/>
              </w:rPr>
              <w:t>PAMECA</w:t>
            </w:r>
          </w:p>
        </w:tc>
        <w:tc>
          <w:tcPr>
            <w:tcW w:w="3974" w:type="dxa"/>
          </w:tcPr>
          <w:p w:rsidR="00BD38C6" w:rsidRPr="002D52DA" w:rsidRDefault="00BD38C6" w:rsidP="00D16212">
            <w:pPr>
              <w:shd w:val="clear" w:color="auto" w:fill="FFFFFF"/>
              <w:spacing w:after="0" w:line="240" w:lineRule="auto"/>
              <w:jc w:val="both"/>
              <w:rPr>
                <w:rFonts w:ascii="Palatino Linotype" w:eastAsia="Times New Roman" w:hAnsi="Palatino Linotype" w:cs="Times New Roman"/>
                <w:color w:val="000000"/>
                <w:sz w:val="18"/>
                <w:szCs w:val="18"/>
              </w:rPr>
            </w:pPr>
            <w:r w:rsidRPr="002D52DA">
              <w:rPr>
                <w:rFonts w:ascii="Palatino Linotype" w:eastAsia="Times New Roman" w:hAnsi="Palatino Linotype" w:cs="Times New Roman"/>
                <w:color w:val="000000"/>
                <w:sz w:val="18"/>
                <w:szCs w:val="18"/>
              </w:rPr>
              <w:t>Teknikat e hartimit të ngritjes së akuzës.</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2942"/>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13-14 qershor 2016</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i/>
                <w:sz w:val="18"/>
                <w:szCs w:val="18"/>
                <w:u w:val="wave"/>
              </w:rPr>
              <w:t>OSBE</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sz w:val="18"/>
                <w:szCs w:val="18"/>
                <w:lang w:eastAsia="en-GB"/>
              </w:rPr>
            </w:pPr>
            <w:r w:rsidRPr="002D52DA">
              <w:rPr>
                <w:rFonts w:ascii="Palatino Linotype" w:eastAsia="Times New Roman" w:hAnsi="Palatino Linotype" w:cs="Times New Roman"/>
                <w:color w:val="000000"/>
                <w:sz w:val="18"/>
                <w:szCs w:val="18"/>
              </w:rPr>
              <w:t xml:space="preserve">Roli i alternativave të dënimit me burgim në luftën parandaluese dhe rehabilitimin e të dënuarve. </w:t>
            </w:r>
            <w:r w:rsidRPr="002D52DA">
              <w:rPr>
                <w:rFonts w:ascii="Palatino Linotype" w:eastAsia="Times New Roman" w:hAnsi="Palatino Linotype" w:cs="Times New Roman"/>
                <w:sz w:val="18"/>
                <w:szCs w:val="18"/>
                <w:lang w:eastAsia="en-GB"/>
              </w:rPr>
              <w:t>Roli i shërbimit të provës në sistemin e drejtësisë penale. Raportet e shërbimit  të  provës në fazën e hetimeve paraprake, në procesin gjyqësor, gjatë ekzekutimit të dënimeve penale dhe pas lirimit nga burgu. Bashkëpunimi prokurori-shërbim prove, Gjykatë-shërbim prove etj.</w:t>
            </w:r>
          </w:p>
        </w:tc>
        <w:tc>
          <w:tcPr>
            <w:tcW w:w="2981" w:type="dxa"/>
          </w:tcPr>
          <w:p w:rsidR="00BD38C6" w:rsidRPr="002D52DA" w:rsidRDefault="00BD38C6" w:rsidP="00D16212">
            <w:pPr>
              <w:spacing w:after="0" w:line="240" w:lineRule="auto"/>
              <w:jc w:val="center"/>
              <w:rPr>
                <w:rFonts w:ascii="Palatino Linotype" w:eastAsia="Batang" w:hAnsi="Palatino Linotype" w:cs="Times New Roman"/>
                <w:b/>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21 qershor 2016</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i/>
                <w:sz w:val="18"/>
                <w:szCs w:val="18"/>
                <w:u w:val="wave"/>
              </w:rPr>
              <w:t>LIST</w:t>
            </w:r>
          </w:p>
        </w:tc>
        <w:tc>
          <w:tcPr>
            <w:tcW w:w="3974" w:type="dxa"/>
          </w:tcPr>
          <w:p w:rsidR="00BD38C6" w:rsidRPr="002D52DA" w:rsidRDefault="00BD38C6" w:rsidP="00D16212">
            <w:pPr>
              <w:spacing w:after="0" w:line="240" w:lineRule="auto"/>
              <w:jc w:val="both"/>
              <w:rPr>
                <w:rFonts w:ascii="Palatino Linotype" w:eastAsia="Times New Roman" w:hAnsi="Palatino Linotype" w:cs="Times New Roman"/>
                <w:sz w:val="18"/>
                <w:szCs w:val="18"/>
              </w:rPr>
            </w:pPr>
            <w:r w:rsidRPr="002D52DA">
              <w:rPr>
                <w:rFonts w:ascii="Palatino Linotype" w:eastAsia="Times New Roman" w:hAnsi="Palatino Linotype" w:cs="Times New Roman"/>
                <w:sz w:val="18"/>
                <w:szCs w:val="18"/>
              </w:rPr>
              <w:t>1.</w:t>
            </w:r>
            <w:r w:rsidRPr="002D52DA">
              <w:rPr>
                <w:rFonts w:ascii="Palatino Linotype" w:eastAsia="Times New Roman" w:hAnsi="Palatino Linotype" w:cs="Times New Roman"/>
                <w:sz w:val="18"/>
                <w:szCs w:val="18"/>
              </w:rPr>
              <w:tab/>
              <w:t>Vendi dhe roli i jurisprudencës se GJEDNJ-se ne Strasburg dhe Gjykatës Evropiane te Drejtësisë ne Luksemburg ne zhvillimin e sistemit ligjor ne Shqipëri;</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27 qershor 2016</w:t>
            </w:r>
          </w:p>
        </w:tc>
        <w:tc>
          <w:tcPr>
            <w:tcW w:w="1545" w:type="dxa"/>
          </w:tcPr>
          <w:p w:rsidR="00BD38C6" w:rsidRPr="002D52DA" w:rsidRDefault="00BD38C6" w:rsidP="00D16212">
            <w:pPr>
              <w:spacing w:after="0" w:line="240" w:lineRule="auto"/>
              <w:rPr>
                <w:rFonts w:ascii="Palatino Linotype" w:eastAsia="Batang" w:hAnsi="Palatino Linotype" w:cs="Times New Roman"/>
                <w:i/>
                <w:sz w:val="18"/>
                <w:szCs w:val="18"/>
                <w:u w:val="wave"/>
              </w:rPr>
            </w:pPr>
            <w:r w:rsidRPr="002D52DA">
              <w:rPr>
                <w:rFonts w:ascii="Palatino Linotype" w:eastAsia="Batang" w:hAnsi="Palatino Linotype" w:cs="Times New Roman"/>
                <w:i/>
                <w:sz w:val="18"/>
                <w:szCs w:val="18"/>
                <w:u w:val="wave"/>
              </w:rPr>
              <w:t>LIST</w:t>
            </w:r>
          </w:p>
        </w:tc>
        <w:tc>
          <w:tcPr>
            <w:tcW w:w="3974" w:type="dxa"/>
          </w:tcPr>
          <w:p w:rsidR="00BD38C6" w:rsidRPr="002D52DA" w:rsidRDefault="00BD38C6" w:rsidP="00D16212">
            <w:pPr>
              <w:spacing w:after="0" w:line="240" w:lineRule="auto"/>
              <w:rPr>
                <w:rFonts w:ascii="Palatino Linotype" w:eastAsia="Times New Roman" w:hAnsi="Palatino Linotype" w:cs="Times New Roman"/>
                <w:sz w:val="18"/>
                <w:szCs w:val="18"/>
              </w:rPr>
            </w:pPr>
            <w:r w:rsidRPr="002D52DA">
              <w:rPr>
                <w:rFonts w:ascii="Palatino Linotype" w:eastAsia="Times New Roman" w:hAnsi="Palatino Linotype" w:cs="Times New Roman"/>
                <w:sz w:val="18"/>
                <w:szCs w:val="18"/>
              </w:rPr>
              <w:t>Rëndësia e interpretimit nëpërmjet jurisprudencës ne drejtim te garantimit te sigurisë juridike, si element i procesit te rregullt ligjor ne kuptim te nenit 6 te KEDNJ-se dhe nenit 42 te Kushtetutës. Kontrolli gjyqësor i vendimeve sipas shkalles hierarkike te tyre dhe qasja e vendimmarrjes se gjykatave te faktit me qëndrimet e GJL-se.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28-29 qershor 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QNL/NHC</w:t>
            </w:r>
          </w:p>
        </w:tc>
        <w:tc>
          <w:tcPr>
            <w:tcW w:w="3974" w:type="dxa"/>
          </w:tcPr>
          <w:p w:rsidR="00BD38C6" w:rsidRPr="002D52DA" w:rsidRDefault="00BD38C6" w:rsidP="00D16212">
            <w:pPr>
              <w:spacing w:after="0" w:line="240" w:lineRule="auto"/>
              <w:jc w:val="both"/>
              <w:rPr>
                <w:rFonts w:ascii="Palatino Linotype" w:eastAsia="MS Mincho" w:hAnsi="Palatino Linotype" w:cs="Times New Roman"/>
                <w:sz w:val="18"/>
                <w:szCs w:val="18"/>
              </w:rPr>
            </w:pPr>
            <w:r w:rsidRPr="002D52DA">
              <w:rPr>
                <w:rFonts w:ascii="Palatino Linotype" w:eastAsia="MS Mincho" w:hAnsi="Palatino Linotype" w:cs="Times New Roman"/>
                <w:sz w:val="18"/>
                <w:szCs w:val="18"/>
              </w:rPr>
              <w:t>Trafikimi i qenieve njerëzore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r w:rsidR="00BD38C6" w:rsidRPr="002D52DA" w:rsidTr="00BD38C6">
        <w:trPr>
          <w:trHeight w:val="146"/>
        </w:trPr>
        <w:tc>
          <w:tcPr>
            <w:tcW w:w="883" w:type="dxa"/>
          </w:tcPr>
          <w:p w:rsidR="00BD38C6" w:rsidRPr="002D52DA" w:rsidRDefault="00BD38C6" w:rsidP="003C4BF1">
            <w:pPr>
              <w:numPr>
                <w:ilvl w:val="0"/>
                <w:numId w:val="15"/>
              </w:numPr>
              <w:spacing w:after="0" w:line="240" w:lineRule="auto"/>
              <w:rPr>
                <w:rFonts w:ascii="Palatino Linotype" w:eastAsia="Batang" w:hAnsi="Palatino Linotype" w:cs="Times New Roman"/>
                <w:sz w:val="18"/>
                <w:szCs w:val="18"/>
                <w:u w:val="wave"/>
              </w:rPr>
            </w:pPr>
          </w:p>
        </w:tc>
        <w:tc>
          <w:tcPr>
            <w:tcW w:w="143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29-30 qershor 2016</w:t>
            </w:r>
          </w:p>
        </w:tc>
        <w:tc>
          <w:tcPr>
            <w:tcW w:w="1545" w:type="dxa"/>
          </w:tcPr>
          <w:p w:rsidR="00BD38C6" w:rsidRPr="002D52DA" w:rsidRDefault="00BD38C6" w:rsidP="00D16212">
            <w:pPr>
              <w:spacing w:after="0" w:line="240" w:lineRule="auto"/>
              <w:rPr>
                <w:rFonts w:ascii="Palatino Linotype" w:eastAsia="Batang" w:hAnsi="Palatino Linotype" w:cs="Times New Roman"/>
                <w:sz w:val="18"/>
                <w:szCs w:val="18"/>
              </w:rPr>
            </w:pPr>
            <w:r w:rsidRPr="002D52DA">
              <w:rPr>
                <w:rFonts w:ascii="Palatino Linotype" w:eastAsia="Batang" w:hAnsi="Palatino Linotype" w:cs="Times New Roman"/>
                <w:sz w:val="18"/>
                <w:szCs w:val="18"/>
              </w:rPr>
              <w:t>AK/UNCTAD</w:t>
            </w:r>
          </w:p>
        </w:tc>
        <w:tc>
          <w:tcPr>
            <w:tcW w:w="3974" w:type="dxa"/>
          </w:tcPr>
          <w:p w:rsidR="00BD38C6" w:rsidRPr="002D52DA" w:rsidRDefault="00BD38C6" w:rsidP="00D16212">
            <w:pPr>
              <w:spacing w:after="0" w:line="240" w:lineRule="auto"/>
              <w:jc w:val="both"/>
              <w:rPr>
                <w:rFonts w:ascii="Times New Roman" w:eastAsia="Times New Roman" w:hAnsi="Times New Roman" w:cs="Times New Roman"/>
                <w:color w:val="000000"/>
                <w:sz w:val="18"/>
                <w:szCs w:val="18"/>
                <w:lang w:eastAsia="ja-JP"/>
              </w:rPr>
            </w:pPr>
            <w:r w:rsidRPr="002D52DA">
              <w:rPr>
                <w:rFonts w:ascii="Palatino Linotype" w:eastAsia="Times New Roman" w:hAnsi="Palatino Linotype" w:cs="Times New Roman"/>
                <w:color w:val="000000"/>
                <w:sz w:val="18"/>
                <w:szCs w:val="18"/>
              </w:rPr>
              <w:t>Gjobat në çështjet e moskonkurencës, shqyrtimi gjyqësor i gjobave.</w:t>
            </w:r>
          </w:p>
        </w:tc>
        <w:tc>
          <w:tcPr>
            <w:tcW w:w="2981" w:type="dxa"/>
          </w:tcPr>
          <w:p w:rsidR="00BD38C6" w:rsidRPr="002D52DA" w:rsidRDefault="00BD38C6" w:rsidP="00D16212">
            <w:pPr>
              <w:spacing w:after="0" w:line="240" w:lineRule="auto"/>
              <w:jc w:val="center"/>
              <w:rPr>
                <w:rFonts w:ascii="Palatino Linotype" w:eastAsia="Batang" w:hAnsi="Palatino Linotype" w:cs="Times New Roman"/>
                <w:sz w:val="18"/>
                <w:szCs w:val="18"/>
                <w:u w:val="wave"/>
              </w:rPr>
            </w:pPr>
            <w:r w:rsidRPr="002D52DA">
              <w:rPr>
                <w:rFonts w:ascii="Palatino Linotype" w:eastAsia="Batang" w:hAnsi="Palatino Linotype" w:cs="Times New Roman"/>
                <w:sz w:val="18"/>
                <w:szCs w:val="18"/>
                <w:u w:val="wave"/>
              </w:rPr>
              <w:t>Fond i menaxhuar nga vetë donatori</w:t>
            </w:r>
          </w:p>
        </w:tc>
      </w:tr>
    </w:tbl>
    <w:p w:rsidR="00BD38C6" w:rsidRPr="002D52DA" w:rsidRDefault="00BD38C6" w:rsidP="00BD38C6">
      <w:pPr>
        <w:rPr>
          <w:rFonts w:ascii="Bookman Old Style" w:hAnsi="Bookman Old Style" w:cs="Times New Roman"/>
        </w:rPr>
      </w:pPr>
    </w:p>
    <w:p w:rsidR="00D754B9" w:rsidRDefault="00D754B9" w:rsidP="002E4C6C">
      <w:pPr>
        <w:rPr>
          <w:rFonts w:ascii="Times New Roman" w:hAnsi="Times New Roman" w:cs="Times New Roman"/>
          <w:sz w:val="24"/>
          <w:szCs w:val="24"/>
        </w:rPr>
      </w:pPr>
    </w:p>
    <w:p w:rsidR="00C901AB" w:rsidRPr="00C901AB" w:rsidRDefault="00C901AB" w:rsidP="00C901AB">
      <w:pPr>
        <w:rPr>
          <w:rFonts w:ascii="Bookman Old Style" w:hAnsi="Bookman Old Style"/>
          <w:b/>
          <w:color w:val="533466" w:themeColor="accent6" w:themeShade="80"/>
          <w:sz w:val="32"/>
          <w:szCs w:val="32"/>
          <w:u w:color="333399"/>
        </w:rPr>
      </w:pPr>
      <w:r w:rsidRPr="00C901AB">
        <w:rPr>
          <w:rFonts w:ascii="Bookman Old Style" w:hAnsi="Bookman Old Style"/>
          <w:b/>
          <w:color w:val="533466" w:themeColor="accent6" w:themeShade="80"/>
          <w:sz w:val="32"/>
          <w:szCs w:val="32"/>
          <w:u w:color="333399"/>
        </w:rPr>
        <w:lastRenderedPageBreak/>
        <w:t xml:space="preserve">6.AKTIVITETE ME PARTNERET NDERKOMBETARE </w:t>
      </w:r>
    </w:p>
    <w:p w:rsidR="00C901AB" w:rsidRPr="00C901AB" w:rsidRDefault="00C901AB" w:rsidP="003C4BF1">
      <w:pPr>
        <w:pStyle w:val="ListParagraph"/>
        <w:numPr>
          <w:ilvl w:val="0"/>
          <w:numId w:val="16"/>
        </w:numPr>
        <w:jc w:val="both"/>
        <w:rPr>
          <w:rFonts w:ascii="Bookman Old Style" w:hAnsi="Bookman Old Style"/>
          <w:b/>
          <w:bCs/>
          <w:color w:val="372971" w:themeColor="accent5" w:themeShade="80"/>
          <w:sz w:val="24"/>
          <w:szCs w:val="24"/>
        </w:rPr>
      </w:pPr>
      <w:r w:rsidRPr="00C901AB">
        <w:rPr>
          <w:rFonts w:ascii="Bookman Old Style" w:hAnsi="Bookman Old Style"/>
          <w:b/>
          <w:bCs/>
          <w:color w:val="372971" w:themeColor="accent5" w:themeShade="80"/>
          <w:sz w:val="24"/>
          <w:szCs w:val="24"/>
        </w:rPr>
        <w:t>VIZITA STUDIMORE NGA AKADEMIA E DREJTËSISË TURKE 19-23 TETOR 2015</w:t>
      </w:r>
    </w:p>
    <w:p w:rsidR="00C901AB" w:rsidRPr="00FB3764" w:rsidRDefault="00C901AB" w:rsidP="00C901AB">
      <w:pPr>
        <w:spacing w:before="100" w:beforeAutospacing="1" w:after="100" w:afterAutospacing="1" w:line="240" w:lineRule="auto"/>
        <w:jc w:val="both"/>
        <w:rPr>
          <w:rFonts w:ascii="Bookman Old Style" w:hAnsi="Bookman Old Style"/>
          <w:noProof/>
          <w:lang w:val="it-IT"/>
        </w:rPr>
      </w:pPr>
      <w:r w:rsidRPr="00FB3764">
        <w:rPr>
          <w:rFonts w:ascii="Bookman Old Style" w:hAnsi="Bookman Old Style"/>
          <w:noProof/>
          <w:lang w:val="it-IT"/>
        </w:rPr>
        <w:t>Si një partner shumë i rëndësishëm që prej vitit 2012 dhe në bazë të marrëveshjes së bashkëpunimit, në datat 19 deri në 23 tetor 2015, Shkolla e Magjistraturës priti përfaqësinë e Akademisë së Drejtësisë së Turqisë, të përbërë nga</w:t>
      </w:r>
      <w:r w:rsidRPr="00FB3764">
        <w:rPr>
          <w:rFonts w:ascii="Bookman Old Style" w:hAnsi="Bookman Old Style"/>
          <w:color w:val="222222"/>
          <w:lang w:val="it-IT"/>
        </w:rPr>
        <w:t xml:space="preserve"> z. </w:t>
      </w:r>
      <w:r w:rsidRPr="00FB3764">
        <w:rPr>
          <w:rFonts w:ascii="Bookman Old Style" w:eastAsia="Times New Roman" w:hAnsi="Bookman Old Style"/>
          <w:color w:val="222222"/>
          <w:lang w:val="it-IT"/>
        </w:rPr>
        <w:t xml:space="preserve">Mustafa Artuç, Zv/President i Akademisë, z. Ahmet Şansal, Drejtues Departamenti, z. Bahtiyar Çoban, z. Berat Duman, z. Abdurrahman Akpınar, z. Muhammet Elmalı dhe z. Mustafa Otluktepe, të cilët ishin të ftuarit në takimet dhe aktivitetet e organizuara nga Shkolla e Magjistraturës me rastin e kësaj vizite. </w:t>
      </w:r>
    </w:p>
    <w:p w:rsidR="00C901AB" w:rsidRPr="00FB3764" w:rsidRDefault="00C901AB" w:rsidP="00C901AB">
      <w:pPr>
        <w:spacing w:before="100" w:beforeAutospacing="1" w:after="100" w:afterAutospacing="1" w:line="240" w:lineRule="auto"/>
        <w:jc w:val="both"/>
        <w:rPr>
          <w:rFonts w:ascii="Bookman Old Style" w:eastAsia="Times New Roman" w:hAnsi="Bookman Old Style"/>
          <w:color w:val="222222"/>
        </w:rPr>
      </w:pPr>
      <w:r w:rsidRPr="00FB3764">
        <w:rPr>
          <w:rFonts w:ascii="Bookman Old Style" w:eastAsia="Times New Roman" w:hAnsi="Bookman Old Style"/>
          <w:color w:val="222222"/>
        </w:rPr>
        <w:t>Takimi i parë me Drejtorin e Shkollës, z. Sokol Sadushi, stafin pedagogjik dhe studentët kandidatë për magjistratë paraqiti shumë interes për shkak të tematikave të trajtuara, të cilat ishin kryesisht në lidhje me zhvillimet e fundit në të dy institucionet homologe, dhe konkretisht provimi i pranimit në Shkollën e Magjistraturës dhe testimi psikologjik, njëkohësisht marrëdhëniet e Akademisë së Turqisë me shumë vende dhe lidhjet shumë të mira me Shkollën e Magjistraturës. Gjatë takimit u theksua se Akademia Turke është e gatshme të mbështesë shkollën në përpjekjet për zgjerimin e ambienteve të saj.</w:t>
      </w:r>
    </w:p>
    <w:p w:rsidR="00C901AB" w:rsidRPr="00FB3764" w:rsidRDefault="00C901AB" w:rsidP="00C901AB">
      <w:pPr>
        <w:spacing w:before="100" w:beforeAutospacing="1" w:after="100" w:afterAutospacing="1" w:line="240" w:lineRule="auto"/>
        <w:jc w:val="both"/>
        <w:rPr>
          <w:rFonts w:ascii="Bookman Old Style" w:eastAsia="Times New Roman" w:hAnsi="Bookman Old Style"/>
          <w:color w:val="222222"/>
        </w:rPr>
      </w:pPr>
      <w:r w:rsidRPr="00FB3764">
        <w:rPr>
          <w:rFonts w:ascii="Bookman Old Style" w:eastAsia="Times New Roman" w:hAnsi="Bookman Old Style"/>
          <w:color w:val="222222"/>
        </w:rPr>
        <w:t>Më tej në takimin me student</w:t>
      </w:r>
      <w:r>
        <w:rPr>
          <w:rFonts w:ascii="Bookman Old Style" w:eastAsia="Times New Roman" w:hAnsi="Bookman Old Style"/>
          <w:color w:val="222222"/>
        </w:rPr>
        <w:t>ë</w:t>
      </w:r>
      <w:r w:rsidRPr="00FB3764">
        <w:rPr>
          <w:rFonts w:ascii="Bookman Old Style" w:eastAsia="Times New Roman" w:hAnsi="Bookman Old Style"/>
          <w:color w:val="222222"/>
        </w:rPr>
        <w:t xml:space="preserve">t u bënë pyetje dhe u dhanë përgjigje në lidhje me përvojat dhe njohuritë e studentëve për Akademinë e Turqisë dhe Turqinë, njëkohësisht u transmetua ftesa për një vizitë të mundshme trajnimi në pranverë të vitit të ardhshëm. </w:t>
      </w:r>
    </w:p>
    <w:p w:rsidR="00C901AB" w:rsidRPr="00FB3764" w:rsidRDefault="00C901AB" w:rsidP="00C901AB">
      <w:pPr>
        <w:spacing w:before="100" w:beforeAutospacing="1" w:after="100" w:afterAutospacing="1" w:line="240" w:lineRule="auto"/>
        <w:jc w:val="both"/>
        <w:rPr>
          <w:rFonts w:ascii="Bookman Old Style" w:eastAsia="Times New Roman" w:hAnsi="Bookman Old Style"/>
          <w:color w:val="222222"/>
        </w:rPr>
      </w:pPr>
      <w:r w:rsidRPr="00FB3764">
        <w:rPr>
          <w:rFonts w:ascii="Bookman Old Style" w:eastAsia="Times New Roman" w:hAnsi="Bookman Old Style"/>
          <w:color w:val="222222"/>
        </w:rPr>
        <w:t>Më tej vijuan dy takime në gjykatat më të larta në vend, takim në Gjykatën e Lartë ku pritja u realizua nga kryetari i gjykatës, z. Xhezair Zaganjori dhe takim në Gjykatën Kushtetuese ku pritja u bë nga kryetari i gjykatës, z. Bashkim Dedja. Këto takime ishin të rëndësishme pasi delegacioni nga Turqia mori informacion në lidhje me strukturën, mënyrën e funksionimit dhe vendin ne sistemin e drejtësisë të Gjykatës së Lartë, si dhe rolin e saj në mbarëvajtjen e sistemit. Njëkohësisht i njëjti informacion u mor edhe nga Kryetari i Gjykatës Kushtetuese Z.Bashkim Dedja. Në të dyja takimet u theksua dëshira e madhe për bashkëpunim dhe shkëmbim përvojash.</w:t>
      </w:r>
    </w:p>
    <w:p w:rsidR="00C901AB" w:rsidRPr="00FB3764" w:rsidRDefault="00C901AB" w:rsidP="00C901AB">
      <w:pPr>
        <w:pStyle w:val="NoSpacing"/>
        <w:jc w:val="both"/>
        <w:rPr>
          <w:rFonts w:ascii="Bookman Old Style" w:hAnsi="Bookman Old Style" w:cs="Calibri"/>
          <w:noProof/>
          <w:sz w:val="22"/>
          <w:szCs w:val="22"/>
        </w:rPr>
      </w:pPr>
      <w:r w:rsidRPr="00FB3764">
        <w:rPr>
          <w:rFonts w:ascii="Bookman Old Style" w:hAnsi="Bookman Old Style" w:cs="Calibri"/>
          <w:color w:val="222222"/>
          <w:sz w:val="22"/>
          <w:szCs w:val="22"/>
        </w:rPr>
        <w:t xml:space="preserve">Në ditën e dytë të qëndrimit në Shqipëri, përfaqësuesit e Akademisë së Drejtësisë së Turqisë vizituan </w:t>
      </w:r>
      <w:r w:rsidRPr="00FB3764">
        <w:rPr>
          <w:rFonts w:ascii="Bookman Old Style" w:hAnsi="Bookman Old Style" w:cs="Calibri"/>
          <w:noProof/>
          <w:sz w:val="22"/>
          <w:szCs w:val="22"/>
        </w:rPr>
        <w:t xml:space="preserve">Prokurorinë e Përgjithshme ku u pritën në një takim nga Kryeprokurori, z. Adriatik Llalla, Gjykaten për Krimet e Rënda, ku patën një takim me kryetarin e kësaj gjykate z. Sandër Simoni dhe diskutuan kryesisht për cështje me interes për delegacionin turk, dhe konkretisht në Prokurori roli dhe funksioni i këtij institucioni në sistemin e ndjekjes penale si dhe në Gjykatën e Krimeve të Rënda, u bisedua në lidhje me gjykimet penale të zhvilluara në gjykatë si dhe u nda informacion për shtetasit turq që ishin gjykuar apo ishin në proces në gjykatë. U ra dakord të realizoheshin vizita të gjyqtarëve në institucionet homologe në Turqi.Më tej takimet vijuan në Këshillin e Lartë të Drejtësisë ku patën një takim me znj. Marsida Xhaferllari dhe z.Pjerin Prendi dhe takimi përmbyllës ishte ai në Ministrinë e Drejtësisë ku u pritën nga Ministri i Drejtësisë z. Nasip Naço. </w:t>
      </w:r>
    </w:p>
    <w:p w:rsidR="00C901AB" w:rsidRDefault="00C901AB" w:rsidP="00C901AB">
      <w:pPr>
        <w:shd w:val="clear" w:color="auto" w:fill="FFFFFF"/>
        <w:jc w:val="both"/>
        <w:textAlignment w:val="baseline"/>
        <w:rPr>
          <w:rFonts w:ascii="Bookman Old Style" w:eastAsia="Times New Roman" w:hAnsi="Bookman Old Style"/>
          <w:color w:val="222222"/>
        </w:rPr>
      </w:pPr>
      <w:r w:rsidRPr="00FB3764">
        <w:rPr>
          <w:rFonts w:ascii="Bookman Old Style" w:eastAsia="Times New Roman" w:hAnsi="Bookman Old Style"/>
          <w:color w:val="222222"/>
        </w:rPr>
        <w:t xml:space="preserve">Dita e tretë dhe e katërt e vizitës ishte konceptuar si një udhëtim për të njohur dhe prezantuar Shqipërinë, vlerat historike dhe bukuritë natyrore. Vizita në qytetin e Beratit dhe rrethinat e </w:t>
      </w:r>
      <w:r w:rsidRPr="00FB3764">
        <w:rPr>
          <w:rFonts w:ascii="Bookman Old Style" w:eastAsia="Times New Roman" w:hAnsi="Bookman Old Style"/>
          <w:color w:val="222222"/>
        </w:rPr>
        <w:lastRenderedPageBreak/>
        <w:t>qytetit të Tiranës iu dha mundësinë të eksploronin disa nga pjesët më të bukura dhe karakteristike të Shqipërisë.</w:t>
      </w:r>
    </w:p>
    <w:p w:rsidR="00C901AB" w:rsidRPr="00FB3764" w:rsidRDefault="00C901AB" w:rsidP="00C901AB">
      <w:pPr>
        <w:shd w:val="clear" w:color="auto" w:fill="FFFFFF"/>
        <w:jc w:val="center"/>
        <w:textAlignment w:val="baseline"/>
        <w:rPr>
          <w:rFonts w:ascii="Bookman Old Style" w:hAnsi="Bookman Old Style"/>
        </w:rPr>
      </w:pPr>
      <w:r>
        <w:rPr>
          <w:rFonts w:ascii="Bookman Old Style" w:hAnsi="Bookman Old Style"/>
          <w:noProof/>
          <w:lang w:val="en-GB" w:eastAsia="en-GB"/>
        </w:rPr>
        <w:drawing>
          <wp:inline distT="0" distB="0" distL="0" distR="0">
            <wp:extent cx="5943600" cy="2933700"/>
            <wp:effectExtent l="19050" t="0" r="0" b="0"/>
            <wp:docPr id="186" name="Picture 1" descr="C:\Users\Dori\Desktop\raporti\turqit k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Desktop\raporti\turqit ketu.JPG"/>
                    <pic:cNvPicPr>
                      <a:picLocks noChangeAspect="1" noChangeArrowheads="1"/>
                    </pic:cNvPicPr>
                  </pic:nvPicPr>
                  <pic:blipFill>
                    <a:blip r:embed="rId45" cstate="print">
                      <a:lum bright="10000"/>
                    </a:blip>
                    <a:srcRect t="28419" b="5769"/>
                    <a:stretch>
                      <a:fillRect/>
                    </a:stretch>
                  </pic:blipFill>
                  <pic:spPr bwMode="auto">
                    <a:xfrm>
                      <a:off x="0" y="0"/>
                      <a:ext cx="5943600" cy="2933700"/>
                    </a:xfrm>
                    <a:prstGeom prst="rect">
                      <a:avLst/>
                    </a:prstGeom>
                    <a:noFill/>
                    <a:ln w="9525">
                      <a:noFill/>
                      <a:miter lim="800000"/>
                      <a:headEnd/>
                      <a:tailEnd/>
                    </a:ln>
                  </pic:spPr>
                </pic:pic>
              </a:graphicData>
            </a:graphic>
          </wp:inline>
        </w:drawing>
      </w:r>
    </w:p>
    <w:p w:rsidR="00C901AB" w:rsidRDefault="00C901AB" w:rsidP="00C901AB">
      <w:pPr>
        <w:pStyle w:val="NoSpacing"/>
        <w:jc w:val="both"/>
        <w:rPr>
          <w:rFonts w:ascii="Bookman Old Style" w:hAnsi="Bookman Old Style"/>
          <w:b/>
          <w:color w:val="632423"/>
          <w:sz w:val="22"/>
          <w:szCs w:val="22"/>
        </w:rPr>
      </w:pPr>
    </w:p>
    <w:p w:rsidR="00C901AB" w:rsidRPr="00C901AB" w:rsidRDefault="00C901AB" w:rsidP="003C4BF1">
      <w:pPr>
        <w:pStyle w:val="ListParagraph"/>
        <w:numPr>
          <w:ilvl w:val="0"/>
          <w:numId w:val="16"/>
        </w:numPr>
        <w:jc w:val="both"/>
        <w:rPr>
          <w:rFonts w:ascii="Bookman Old Style" w:hAnsi="Bookman Old Style"/>
          <w:b/>
          <w:bCs/>
          <w:color w:val="372971" w:themeColor="accent5" w:themeShade="80"/>
          <w:sz w:val="24"/>
          <w:szCs w:val="24"/>
          <w:lang w:val="en-US"/>
        </w:rPr>
      </w:pPr>
      <w:r w:rsidRPr="00C901AB">
        <w:rPr>
          <w:rFonts w:ascii="Bookman Old Style" w:hAnsi="Bookman Old Style"/>
          <w:b/>
          <w:bCs/>
          <w:color w:val="372971" w:themeColor="accent5" w:themeShade="80"/>
          <w:sz w:val="24"/>
          <w:szCs w:val="24"/>
        </w:rPr>
        <w:t>KONFERENCA E 7-të NDËRKOMBËTARE PËR TRAJNIMIN GJYQËSOR “EKSELENCA GJYQËSORE NËPËRMJET EDUKIMIT” 8-12 NENTOR 2015</w:t>
      </w:r>
    </w:p>
    <w:p w:rsidR="00C901AB" w:rsidRPr="00951473" w:rsidRDefault="00C901AB" w:rsidP="00C901AB">
      <w:pPr>
        <w:pStyle w:val="NoSpacing"/>
        <w:jc w:val="both"/>
        <w:rPr>
          <w:rFonts w:ascii="Bookman Old Style" w:hAnsi="Bookman Old Style"/>
          <w:sz w:val="22"/>
          <w:szCs w:val="22"/>
          <w:lang w:val="it-IT"/>
        </w:rPr>
      </w:pPr>
      <w:r w:rsidRPr="00951473">
        <w:rPr>
          <w:rFonts w:ascii="Bookman Old Style" w:hAnsi="Bookman Old Style"/>
          <w:sz w:val="22"/>
          <w:szCs w:val="22"/>
          <w:lang w:val="it-IT"/>
        </w:rPr>
        <w:t xml:space="preserve">Në kuadër të bashkëpunimit me Organizatën Ndërkombëtare të Trajnimit Gjyqësor (IOJT), Shkolla e Magjistraturës </w:t>
      </w:r>
      <w:r>
        <w:rPr>
          <w:rFonts w:ascii="Bookman Old Style" w:hAnsi="Bookman Old Style"/>
          <w:sz w:val="22"/>
          <w:szCs w:val="22"/>
          <w:lang w:val="it-IT"/>
        </w:rPr>
        <w:t>u</w:t>
      </w:r>
      <w:r w:rsidRPr="00951473">
        <w:rPr>
          <w:rFonts w:ascii="Bookman Old Style" w:hAnsi="Bookman Old Style"/>
          <w:sz w:val="22"/>
          <w:szCs w:val="22"/>
          <w:lang w:val="it-IT"/>
        </w:rPr>
        <w:t xml:space="preserve"> ftua të marrë pjesë në Konferencën e 7 Ndërkombëtare për Trajnimin e Gjyqësorit “Judicial Excellence Through Education”, </w:t>
      </w:r>
      <w:r>
        <w:rPr>
          <w:rFonts w:ascii="Bookman Old Style" w:hAnsi="Bookman Old Style"/>
          <w:sz w:val="22"/>
          <w:szCs w:val="22"/>
          <w:lang w:val="it-IT"/>
        </w:rPr>
        <w:t>për promovimin e</w:t>
      </w:r>
      <w:r w:rsidRPr="00951473">
        <w:rPr>
          <w:rFonts w:ascii="Bookman Old Style" w:hAnsi="Bookman Old Style"/>
          <w:sz w:val="22"/>
          <w:szCs w:val="22"/>
          <w:lang w:val="it-IT"/>
        </w:rPr>
        <w:t xml:space="preserve"> shteti</w:t>
      </w:r>
      <w:r>
        <w:rPr>
          <w:rFonts w:ascii="Bookman Old Style" w:hAnsi="Bookman Old Style"/>
          <w:sz w:val="22"/>
          <w:szCs w:val="22"/>
          <w:lang w:val="it-IT"/>
        </w:rPr>
        <w:t>ttë</w:t>
      </w:r>
      <w:r w:rsidRPr="00951473">
        <w:rPr>
          <w:rFonts w:ascii="Bookman Old Style" w:hAnsi="Bookman Old Style"/>
          <w:sz w:val="22"/>
          <w:szCs w:val="22"/>
          <w:lang w:val="it-IT"/>
        </w:rPr>
        <w:t xml:space="preserve"> së drejtës duke mbështetur punën e institucioneve të trajnimit gjyqësor në të gjithë botën. Në këtë konferencë </w:t>
      </w:r>
      <w:r>
        <w:rPr>
          <w:rFonts w:ascii="Bookman Old Style" w:hAnsi="Bookman Old Style"/>
          <w:sz w:val="22"/>
          <w:szCs w:val="22"/>
          <w:lang w:val="it-IT"/>
        </w:rPr>
        <w:t xml:space="preserve">ishin </w:t>
      </w:r>
      <w:r w:rsidRPr="00951473">
        <w:rPr>
          <w:rFonts w:ascii="Bookman Old Style" w:hAnsi="Bookman Old Style"/>
          <w:sz w:val="22"/>
          <w:szCs w:val="22"/>
          <w:lang w:val="it-IT"/>
        </w:rPr>
        <w:t xml:space="preserve">të përfaqësuar institucionet e trajnimit gjyqësor nga 73 vende të botës. Aktiviteti </w:t>
      </w:r>
      <w:r>
        <w:rPr>
          <w:rFonts w:ascii="Bookman Old Style" w:hAnsi="Bookman Old Style"/>
          <w:sz w:val="22"/>
          <w:szCs w:val="22"/>
          <w:lang w:val="it-IT"/>
        </w:rPr>
        <w:t>u</w:t>
      </w:r>
      <w:r w:rsidRPr="00951473">
        <w:rPr>
          <w:rFonts w:ascii="Bookman Old Style" w:hAnsi="Bookman Old Style"/>
          <w:sz w:val="22"/>
          <w:szCs w:val="22"/>
          <w:lang w:val="it-IT"/>
        </w:rPr>
        <w:t xml:space="preserve"> zhvill</w:t>
      </w:r>
      <w:r>
        <w:rPr>
          <w:rFonts w:ascii="Bookman Old Style" w:hAnsi="Bookman Old Style"/>
          <w:sz w:val="22"/>
          <w:szCs w:val="22"/>
          <w:lang w:val="it-IT"/>
        </w:rPr>
        <w:t>ua</w:t>
      </w:r>
      <w:r w:rsidRPr="00951473">
        <w:rPr>
          <w:rFonts w:ascii="Bookman Old Style" w:hAnsi="Bookman Old Style"/>
          <w:sz w:val="22"/>
          <w:szCs w:val="22"/>
          <w:lang w:val="it-IT"/>
        </w:rPr>
        <w:t xml:space="preserve"> në Recife, Brazil, në datat 8-12 Nëntor 2015.</w:t>
      </w:r>
    </w:p>
    <w:p w:rsidR="00C901AB" w:rsidRPr="00951473" w:rsidRDefault="00C901AB" w:rsidP="00C901AB">
      <w:pPr>
        <w:pStyle w:val="NoSpacing"/>
        <w:jc w:val="both"/>
        <w:rPr>
          <w:rFonts w:ascii="Bookman Old Style" w:hAnsi="Bookman Old Style"/>
          <w:sz w:val="22"/>
          <w:szCs w:val="22"/>
        </w:rPr>
      </w:pPr>
    </w:p>
    <w:p w:rsidR="00C901AB" w:rsidRPr="00951473" w:rsidRDefault="00C901AB" w:rsidP="00C901AB">
      <w:pPr>
        <w:shd w:val="clear" w:color="auto" w:fill="FFFFFF"/>
        <w:spacing w:after="0" w:line="240" w:lineRule="auto"/>
        <w:jc w:val="both"/>
        <w:rPr>
          <w:rFonts w:ascii="Bookman Old Style" w:eastAsia="Times New Roman" w:hAnsi="Bookman Old Style" w:cs="Helvetica"/>
          <w:color w:val="000000"/>
        </w:rPr>
      </w:pPr>
      <w:r>
        <w:rPr>
          <w:rFonts w:ascii="Bookman Old Style" w:eastAsia="Times New Roman" w:hAnsi="Bookman Old Style" w:cs="Arial"/>
          <w:color w:val="000000"/>
        </w:rPr>
        <w:t>Organizata Ndë</w:t>
      </w:r>
      <w:r w:rsidRPr="00951473">
        <w:rPr>
          <w:rFonts w:ascii="Bookman Old Style" w:eastAsia="Times New Roman" w:hAnsi="Bookman Old Style" w:cs="Arial"/>
          <w:color w:val="000000"/>
        </w:rPr>
        <w:t>rkomb</w:t>
      </w:r>
      <w:r>
        <w:rPr>
          <w:rFonts w:ascii="Bookman Old Style" w:eastAsia="Times New Roman" w:hAnsi="Bookman Old Style" w:cs="Arial"/>
          <w:color w:val="000000"/>
        </w:rPr>
        <w:t>ëtare për Trajnimin e Gjyqë</w:t>
      </w:r>
      <w:r w:rsidRPr="00951473">
        <w:rPr>
          <w:rFonts w:ascii="Bookman Old Style" w:eastAsia="Times New Roman" w:hAnsi="Bookman Old Style" w:cs="Arial"/>
          <w:color w:val="000000"/>
        </w:rPr>
        <w:t>sorit IOJT, e themeluar n</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vitin 2002 gjat</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nj</w:t>
      </w:r>
      <w:r>
        <w:rPr>
          <w:rFonts w:ascii="Bookman Old Style" w:eastAsia="Times New Roman" w:hAnsi="Bookman Old Style" w:cs="Arial"/>
          <w:color w:val="000000"/>
        </w:rPr>
        <w:t>ëk</w:t>
      </w:r>
      <w:r w:rsidRPr="00951473">
        <w:rPr>
          <w:rFonts w:ascii="Bookman Old Style" w:eastAsia="Times New Roman" w:hAnsi="Bookman Old Style" w:cs="Arial"/>
          <w:color w:val="000000"/>
        </w:rPr>
        <w:t>onference n</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Jeruzalem, u krijua p</w:t>
      </w:r>
      <w:r>
        <w:rPr>
          <w:rFonts w:ascii="Bookman Old Style" w:eastAsia="Times New Roman" w:hAnsi="Bookman Old Style" w:cs="Arial"/>
          <w:color w:val="000000"/>
        </w:rPr>
        <w:t>ë</w:t>
      </w:r>
      <w:r w:rsidRPr="00951473">
        <w:rPr>
          <w:rFonts w:ascii="Bookman Old Style" w:eastAsia="Times New Roman" w:hAnsi="Bookman Old Style" w:cs="Arial"/>
          <w:color w:val="000000"/>
        </w:rPr>
        <w:t>r promovimin e Shtetit t</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s</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Drejt</w:t>
      </w:r>
      <w:r>
        <w:rPr>
          <w:rFonts w:ascii="Bookman Old Style" w:eastAsia="Times New Roman" w:hAnsi="Bookman Old Style" w:cs="Arial"/>
          <w:color w:val="000000"/>
        </w:rPr>
        <w:t>ë</w:t>
      </w:r>
      <w:r w:rsidRPr="00951473">
        <w:rPr>
          <w:rFonts w:ascii="Bookman Old Style" w:eastAsia="Times New Roman" w:hAnsi="Bookman Old Style" w:cs="Arial"/>
          <w:color w:val="000000"/>
        </w:rPr>
        <w:t>s duke mb</w:t>
      </w:r>
      <w:r>
        <w:rPr>
          <w:rFonts w:ascii="Bookman Old Style" w:eastAsia="Times New Roman" w:hAnsi="Bookman Old Style" w:cs="Arial"/>
          <w:color w:val="000000"/>
        </w:rPr>
        <w:t>ë</w:t>
      </w:r>
      <w:r w:rsidRPr="00951473">
        <w:rPr>
          <w:rFonts w:ascii="Bookman Old Style" w:eastAsia="Times New Roman" w:hAnsi="Bookman Old Style" w:cs="Arial"/>
          <w:color w:val="000000"/>
        </w:rPr>
        <w:t>shtetur pun</w:t>
      </w:r>
      <w:r>
        <w:rPr>
          <w:rFonts w:ascii="Bookman Old Style" w:eastAsia="Times New Roman" w:hAnsi="Bookman Old Style" w:cs="Arial"/>
          <w:color w:val="000000"/>
        </w:rPr>
        <w:t>ë</w:t>
      </w:r>
      <w:r w:rsidRPr="00951473">
        <w:rPr>
          <w:rFonts w:ascii="Bookman Old Style" w:eastAsia="Times New Roman" w:hAnsi="Bookman Old Style" w:cs="Arial"/>
          <w:color w:val="000000"/>
        </w:rPr>
        <w:t>n e institucioneve t</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trajnimit gjyq</w:t>
      </w:r>
      <w:r>
        <w:rPr>
          <w:rFonts w:ascii="Bookman Old Style" w:eastAsia="Times New Roman" w:hAnsi="Bookman Old Style" w:cs="Arial"/>
          <w:color w:val="000000"/>
        </w:rPr>
        <w:t>ë</w:t>
      </w:r>
      <w:r w:rsidRPr="00951473">
        <w:rPr>
          <w:rFonts w:ascii="Bookman Old Style" w:eastAsia="Times New Roman" w:hAnsi="Bookman Old Style" w:cs="Arial"/>
          <w:color w:val="000000"/>
        </w:rPr>
        <w:t>sor n</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bot</w:t>
      </w:r>
      <w:r>
        <w:rPr>
          <w:rFonts w:ascii="Bookman Old Style" w:eastAsia="Times New Roman" w:hAnsi="Bookman Old Style" w:cs="Arial"/>
          <w:color w:val="000000"/>
        </w:rPr>
        <w:t>ë</w:t>
      </w:r>
      <w:r w:rsidRPr="00951473">
        <w:rPr>
          <w:rFonts w:ascii="Bookman Old Style" w:eastAsia="Times New Roman" w:hAnsi="Bookman Old Style" w:cs="Arial"/>
          <w:color w:val="000000"/>
        </w:rPr>
        <w:t>. An</w:t>
      </w:r>
      <w:r>
        <w:rPr>
          <w:rFonts w:ascii="Bookman Old Style" w:eastAsia="Times New Roman" w:hAnsi="Bookman Old Style" w:cs="Arial"/>
          <w:color w:val="000000"/>
        </w:rPr>
        <w:t>ë</w:t>
      </w:r>
      <w:r w:rsidRPr="00951473">
        <w:rPr>
          <w:rFonts w:ascii="Bookman Old Style" w:eastAsia="Times New Roman" w:hAnsi="Bookman Old Style" w:cs="Arial"/>
          <w:color w:val="000000"/>
        </w:rPr>
        <w:t>tar</w:t>
      </w:r>
      <w:r>
        <w:rPr>
          <w:rFonts w:ascii="Bookman Old Style" w:eastAsia="Times New Roman" w:hAnsi="Bookman Old Style" w:cs="Arial"/>
          <w:color w:val="000000"/>
        </w:rPr>
        <w:t>ë</w:t>
      </w:r>
      <w:r w:rsidRPr="00951473">
        <w:rPr>
          <w:rFonts w:ascii="Bookman Old Style" w:eastAsia="Times New Roman" w:hAnsi="Bookman Old Style" w:cs="Arial"/>
          <w:color w:val="000000"/>
        </w:rPr>
        <w:t>simi n</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IOJT p</w:t>
      </w:r>
      <w:r>
        <w:rPr>
          <w:rFonts w:ascii="Bookman Old Style" w:eastAsia="Times New Roman" w:hAnsi="Bookman Old Style" w:cs="Arial"/>
          <w:color w:val="000000"/>
        </w:rPr>
        <w:t>ë</w:t>
      </w:r>
      <w:r w:rsidRPr="00951473">
        <w:rPr>
          <w:rFonts w:ascii="Bookman Old Style" w:eastAsia="Times New Roman" w:hAnsi="Bookman Old Style" w:cs="Arial"/>
          <w:color w:val="000000"/>
        </w:rPr>
        <w:t>rfaqesohet me 73 shtete te botes. Konferenca zhvillohet n</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5 dit</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me sesione edukative dhe disa evente p</w:t>
      </w:r>
      <w:r>
        <w:rPr>
          <w:rFonts w:ascii="Bookman Old Style" w:eastAsia="Times New Roman" w:hAnsi="Bookman Old Style" w:cs="Arial"/>
          <w:color w:val="000000"/>
        </w:rPr>
        <w:t>ë</w:t>
      </w:r>
      <w:r w:rsidRPr="00951473">
        <w:rPr>
          <w:rFonts w:ascii="Bookman Old Style" w:eastAsia="Times New Roman" w:hAnsi="Bookman Old Style" w:cs="Arial"/>
          <w:color w:val="000000"/>
        </w:rPr>
        <w:t>r lidhjen n</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rrjet t</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institucioneve. Fo</w:t>
      </w:r>
      <w:r>
        <w:rPr>
          <w:rFonts w:ascii="Bookman Old Style" w:eastAsia="Times New Roman" w:hAnsi="Bookman Old Style" w:cs="Arial"/>
          <w:color w:val="000000"/>
        </w:rPr>
        <w:t>w</w:t>
      </w:r>
      <w:r w:rsidRPr="00951473">
        <w:rPr>
          <w:rFonts w:ascii="Bookman Old Style" w:eastAsia="Times New Roman" w:hAnsi="Bookman Old Style" w:cs="Arial"/>
          <w:color w:val="000000"/>
        </w:rPr>
        <w:t xml:space="preserve">esit </w:t>
      </w:r>
      <w:r>
        <w:rPr>
          <w:rFonts w:ascii="Bookman Old Style" w:eastAsia="Times New Roman" w:hAnsi="Bookman Old Style" w:cs="Arial"/>
          <w:color w:val="000000"/>
        </w:rPr>
        <w:t>ishin</w:t>
      </w:r>
      <w:r w:rsidRPr="00951473">
        <w:rPr>
          <w:rFonts w:ascii="Bookman Old Style" w:eastAsia="Times New Roman" w:hAnsi="Bookman Old Style" w:cs="Arial"/>
          <w:color w:val="000000"/>
        </w:rPr>
        <w:t xml:space="preserve"> zyrtar</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dhe edukator</w:t>
      </w:r>
      <w:r>
        <w:rPr>
          <w:rFonts w:ascii="Bookman Old Style" w:eastAsia="Times New Roman" w:hAnsi="Bookman Old Style" w:cs="Arial"/>
          <w:color w:val="000000"/>
        </w:rPr>
        <w:t>ë gjyqë</w:t>
      </w:r>
      <w:r w:rsidRPr="00951473">
        <w:rPr>
          <w:rFonts w:ascii="Bookman Old Style" w:eastAsia="Times New Roman" w:hAnsi="Bookman Old Style" w:cs="Arial"/>
          <w:color w:val="000000"/>
        </w:rPr>
        <w:t>sore nga nj</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s</w:t>
      </w:r>
      <w:r>
        <w:rPr>
          <w:rFonts w:ascii="Bookman Old Style" w:eastAsia="Times New Roman" w:hAnsi="Bookman Old Style" w:cs="Arial"/>
          <w:color w:val="000000"/>
        </w:rPr>
        <w:t>ë</w:t>
      </w:r>
      <w:r w:rsidRPr="00951473">
        <w:rPr>
          <w:rFonts w:ascii="Bookman Old Style" w:eastAsia="Times New Roman" w:hAnsi="Bookman Old Style" w:cs="Arial"/>
          <w:color w:val="000000"/>
        </w:rPr>
        <w:t>r</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vendesh t</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ndryshme t</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 bot</w:t>
      </w:r>
      <w:r>
        <w:rPr>
          <w:rFonts w:ascii="Bookman Old Style" w:eastAsia="Times New Roman" w:hAnsi="Bookman Old Style" w:cs="Arial"/>
          <w:color w:val="000000"/>
        </w:rPr>
        <w:t>ë</w:t>
      </w:r>
      <w:r w:rsidRPr="00951473">
        <w:rPr>
          <w:rFonts w:ascii="Bookman Old Style" w:eastAsia="Times New Roman" w:hAnsi="Bookman Old Style" w:cs="Arial"/>
          <w:color w:val="000000"/>
        </w:rPr>
        <w:t xml:space="preserve">s. </w:t>
      </w:r>
    </w:p>
    <w:p w:rsidR="00C901AB" w:rsidRPr="00951473" w:rsidRDefault="00C901AB" w:rsidP="00C901AB">
      <w:pPr>
        <w:shd w:val="clear" w:color="auto" w:fill="FFFFFF"/>
        <w:spacing w:after="0" w:line="240" w:lineRule="auto"/>
        <w:ind w:firstLine="993"/>
        <w:jc w:val="both"/>
        <w:rPr>
          <w:rFonts w:ascii="Bookman Old Style" w:eastAsia="Times New Roman" w:hAnsi="Bookman Old Style" w:cs="Helvetica"/>
          <w:color w:val="000000"/>
        </w:rPr>
      </w:pPr>
      <w:r w:rsidRPr="00951473">
        <w:rPr>
          <w:rFonts w:ascii="Bookman Old Style" w:eastAsia="Times New Roman" w:hAnsi="Bookman Old Style" w:cs="Arial"/>
          <w:color w:val="000000"/>
        </w:rPr>
        <w:t> </w:t>
      </w:r>
    </w:p>
    <w:p w:rsidR="00C901AB" w:rsidRPr="00951473" w:rsidRDefault="00C901AB" w:rsidP="00C901AB">
      <w:pPr>
        <w:pStyle w:val="NoSpacing"/>
        <w:jc w:val="both"/>
        <w:rPr>
          <w:rFonts w:ascii="Bookman Old Style" w:hAnsi="Bookman Old Style"/>
          <w:sz w:val="22"/>
          <w:szCs w:val="22"/>
        </w:rPr>
      </w:pPr>
      <w:r w:rsidRPr="00951473">
        <w:rPr>
          <w:rFonts w:ascii="Bookman Old Style" w:hAnsi="Bookman Old Style"/>
          <w:sz w:val="22"/>
          <w:szCs w:val="22"/>
        </w:rPr>
        <w:t>Konferenca përfshi</w:t>
      </w:r>
      <w:r>
        <w:rPr>
          <w:rFonts w:ascii="Bookman Old Style" w:hAnsi="Bookman Old Style"/>
          <w:sz w:val="22"/>
          <w:szCs w:val="22"/>
        </w:rPr>
        <w:t>u</w:t>
      </w:r>
      <w:r w:rsidRPr="00951473">
        <w:rPr>
          <w:rFonts w:ascii="Bookman Old Style" w:hAnsi="Bookman Old Style"/>
          <w:sz w:val="22"/>
          <w:szCs w:val="22"/>
        </w:rPr>
        <w:t xml:space="preserve"> sesione edukative nga zyrtarë të lartë të gjyqësorit si dhe drejtues të institucioneve të edukimit gjyqësor nëpër botë. Tematikat e konferencës </w:t>
      </w:r>
      <w:r>
        <w:rPr>
          <w:rFonts w:ascii="Bookman Old Style" w:hAnsi="Bookman Old Style"/>
          <w:sz w:val="22"/>
          <w:szCs w:val="22"/>
        </w:rPr>
        <w:t>u</w:t>
      </w:r>
      <w:r w:rsidRPr="00951473">
        <w:rPr>
          <w:rFonts w:ascii="Bookman Old Style" w:hAnsi="Bookman Old Style"/>
          <w:sz w:val="22"/>
          <w:szCs w:val="22"/>
        </w:rPr>
        <w:t xml:space="preserve"> fokus</w:t>
      </w:r>
      <w:r>
        <w:rPr>
          <w:rFonts w:ascii="Bookman Old Style" w:hAnsi="Bookman Old Style"/>
          <w:sz w:val="22"/>
          <w:szCs w:val="22"/>
        </w:rPr>
        <w:t>uan</w:t>
      </w:r>
      <w:r w:rsidRPr="00951473">
        <w:rPr>
          <w:rFonts w:ascii="Bookman Old Style" w:hAnsi="Bookman Old Style"/>
          <w:sz w:val="22"/>
          <w:szCs w:val="22"/>
        </w:rPr>
        <w:t xml:space="preserve"> në k</w:t>
      </w:r>
      <w:r w:rsidRPr="00951473">
        <w:rPr>
          <w:rFonts w:ascii="Bookman Old Style" w:hAnsi="Bookman Old Style"/>
          <w:sz w:val="22"/>
          <w:szCs w:val="22"/>
          <w:lang w:val="it-IT"/>
        </w:rPr>
        <w:t>omponentët më të rëndësishëm dhe tematikat bashkëkohore të trajnimit gjyqësor; të rejat në metodologjinë e trajnimit; p</w:t>
      </w:r>
      <w:r w:rsidRPr="00951473">
        <w:rPr>
          <w:rFonts w:ascii="Bookman Old Style" w:hAnsi="Bookman Old Style"/>
          <w:sz w:val="22"/>
          <w:szCs w:val="22"/>
        </w:rPr>
        <w:t>raktikat më të mira në edukimin gjyqësor; përdorimi i teknologjisë në trajnime; etika gjyqësore dhe media, proceset gjyqësore kundër terrorizmit.</w:t>
      </w:r>
    </w:p>
    <w:p w:rsidR="00C901AB" w:rsidRPr="00951473" w:rsidRDefault="00C901AB" w:rsidP="00C901AB">
      <w:pPr>
        <w:shd w:val="clear" w:color="auto" w:fill="FFFFFF"/>
        <w:jc w:val="both"/>
        <w:textAlignment w:val="baseline"/>
        <w:rPr>
          <w:rFonts w:ascii="Bookman Old Style" w:hAnsi="Bookman Old Style"/>
          <w:sz w:val="8"/>
          <w:szCs w:val="8"/>
        </w:rPr>
      </w:pPr>
    </w:p>
    <w:p w:rsidR="00C901AB" w:rsidRPr="00951473" w:rsidRDefault="00C901AB" w:rsidP="00C901AB">
      <w:pPr>
        <w:shd w:val="clear" w:color="auto" w:fill="FFFFFF"/>
        <w:jc w:val="both"/>
        <w:textAlignment w:val="baseline"/>
        <w:rPr>
          <w:rFonts w:ascii="Bookman Old Style" w:hAnsi="Bookman Old Style"/>
          <w:noProof/>
          <w:color w:val="666666"/>
          <w:lang w:eastAsia="en-GB"/>
        </w:rPr>
      </w:pPr>
      <w:r w:rsidRPr="00951473">
        <w:rPr>
          <w:rFonts w:ascii="Bookman Old Style" w:hAnsi="Bookman Old Style"/>
        </w:rPr>
        <w:t xml:space="preserve">Shkolla e Magjistraturës </w:t>
      </w:r>
      <w:r>
        <w:rPr>
          <w:rFonts w:ascii="Bookman Old Style" w:hAnsi="Bookman Old Style"/>
        </w:rPr>
        <w:t>u</w:t>
      </w:r>
      <w:r w:rsidRPr="00951473">
        <w:rPr>
          <w:rFonts w:ascii="Bookman Old Style" w:hAnsi="Bookman Old Style"/>
        </w:rPr>
        <w:t xml:space="preserve"> përfaqës</w:t>
      </w:r>
      <w:r>
        <w:rPr>
          <w:rFonts w:ascii="Bookman Old Style" w:hAnsi="Bookman Old Style"/>
        </w:rPr>
        <w:t>ua</w:t>
      </w:r>
      <w:r w:rsidRPr="00951473">
        <w:rPr>
          <w:rFonts w:ascii="Bookman Old Style" w:hAnsi="Bookman Old Style"/>
        </w:rPr>
        <w:t xml:space="preserve"> në këtë aktivitet nga Drejtori, Z.</w:t>
      </w:r>
      <w:r w:rsidRPr="00951473">
        <w:rPr>
          <w:rFonts w:ascii="Bookman Old Style" w:hAnsi="Bookman Old Style"/>
          <w:lang w:val="it-IT"/>
        </w:rPr>
        <w:t xml:space="preserve"> Sokol Sadushi dhe P</w:t>
      </w:r>
      <w:r>
        <w:rPr>
          <w:rFonts w:ascii="Bookman Old Style" w:hAnsi="Bookman Old Style"/>
          <w:lang w:val="it-IT"/>
        </w:rPr>
        <w:t>ë</w:t>
      </w:r>
      <w:r w:rsidRPr="00951473">
        <w:rPr>
          <w:rFonts w:ascii="Bookman Old Style" w:hAnsi="Bookman Old Style"/>
          <w:lang w:val="it-IT"/>
        </w:rPr>
        <w:t>rgj</w:t>
      </w:r>
      <w:r>
        <w:rPr>
          <w:rFonts w:ascii="Bookman Old Style" w:hAnsi="Bookman Old Style"/>
          <w:lang w:val="it-IT"/>
        </w:rPr>
        <w:t>ë</w:t>
      </w:r>
      <w:r w:rsidRPr="00951473">
        <w:rPr>
          <w:rFonts w:ascii="Bookman Old Style" w:hAnsi="Bookman Old Style"/>
          <w:lang w:val="it-IT"/>
        </w:rPr>
        <w:t>gj</w:t>
      </w:r>
      <w:r>
        <w:rPr>
          <w:rFonts w:ascii="Bookman Old Style" w:hAnsi="Bookman Old Style"/>
          <w:lang w:val="it-IT"/>
        </w:rPr>
        <w:t>ë</w:t>
      </w:r>
      <w:r w:rsidRPr="00951473">
        <w:rPr>
          <w:rFonts w:ascii="Bookman Old Style" w:hAnsi="Bookman Old Style"/>
          <w:lang w:val="it-IT"/>
        </w:rPr>
        <w:t>si p</w:t>
      </w:r>
      <w:r>
        <w:rPr>
          <w:rFonts w:ascii="Bookman Old Style" w:hAnsi="Bookman Old Style"/>
          <w:lang w:val="it-IT"/>
        </w:rPr>
        <w:t>ë</w:t>
      </w:r>
      <w:r w:rsidRPr="00951473">
        <w:rPr>
          <w:rFonts w:ascii="Bookman Old Style" w:hAnsi="Bookman Old Style"/>
          <w:lang w:val="it-IT"/>
        </w:rPr>
        <w:t xml:space="preserve">r Trajnimin Profesional, </w:t>
      </w:r>
      <w:r>
        <w:rPr>
          <w:rFonts w:ascii="Bookman Old Style" w:hAnsi="Bookman Old Style"/>
          <w:lang w:val="it-IT"/>
        </w:rPr>
        <w:t xml:space="preserve">Z. </w:t>
      </w:r>
      <w:r w:rsidRPr="00951473">
        <w:rPr>
          <w:rFonts w:ascii="Bookman Old Style" w:hAnsi="Bookman Old Style"/>
          <w:lang w:val="it-IT"/>
        </w:rPr>
        <w:t>Ador Koleka.</w:t>
      </w:r>
    </w:p>
    <w:p w:rsidR="00C901AB" w:rsidRDefault="008633F3" w:rsidP="00C901AB">
      <w:pPr>
        <w:jc w:val="center"/>
        <w:rPr>
          <w:rFonts w:ascii="Bookman Old Style" w:hAnsi="Bookman Old Style"/>
          <w:b/>
          <w:color w:val="632423"/>
        </w:rPr>
      </w:pPr>
      <w:r>
        <w:rPr>
          <w:rFonts w:ascii="Bookman Old Style" w:hAnsi="Bookman Old Style"/>
          <w:b/>
          <w:color w:val="632423"/>
        </w:rPr>
        <w:lastRenderedPageBreak/>
        <w:t xml:space="preserve">  </w:t>
      </w:r>
      <w:r w:rsidR="00C901AB">
        <w:rPr>
          <w:rFonts w:ascii="Bookman Old Style" w:hAnsi="Bookman Old Style"/>
          <w:b/>
          <w:noProof/>
          <w:color w:val="632423"/>
          <w:lang w:val="en-GB" w:eastAsia="en-GB"/>
        </w:rPr>
        <w:drawing>
          <wp:inline distT="0" distB="0" distL="0" distR="0">
            <wp:extent cx="5943600" cy="3181350"/>
            <wp:effectExtent l="19050" t="0" r="0" b="0"/>
            <wp:docPr id="187" name="Picture 2" descr="C:\Users\Dori\Desktop\raporti\braz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i\Desktop\raporti\brazil.JPG"/>
                    <pic:cNvPicPr>
                      <a:picLocks noChangeAspect="1" noChangeArrowheads="1"/>
                    </pic:cNvPicPr>
                  </pic:nvPicPr>
                  <pic:blipFill>
                    <a:blip r:embed="rId46" cstate="print">
                      <a:lum bright="10000"/>
                    </a:blip>
                    <a:srcRect t="28632"/>
                    <a:stretch>
                      <a:fillRect/>
                    </a:stretch>
                  </pic:blipFill>
                  <pic:spPr bwMode="auto">
                    <a:xfrm>
                      <a:off x="0" y="0"/>
                      <a:ext cx="5943600" cy="3181350"/>
                    </a:xfrm>
                    <a:prstGeom prst="rect">
                      <a:avLst/>
                    </a:prstGeom>
                    <a:noFill/>
                    <a:ln w="9525">
                      <a:noFill/>
                      <a:miter lim="800000"/>
                      <a:headEnd/>
                      <a:tailEnd/>
                    </a:ln>
                  </pic:spPr>
                </pic:pic>
              </a:graphicData>
            </a:graphic>
          </wp:inline>
        </w:drawing>
      </w:r>
    </w:p>
    <w:p w:rsidR="00C901AB" w:rsidRPr="00C901AB" w:rsidRDefault="00C901AB" w:rsidP="003C4BF1">
      <w:pPr>
        <w:pStyle w:val="ListParagraph"/>
        <w:numPr>
          <w:ilvl w:val="0"/>
          <w:numId w:val="16"/>
        </w:numPr>
        <w:jc w:val="both"/>
        <w:rPr>
          <w:rFonts w:ascii="Bookman Old Style" w:hAnsi="Bookman Old Style"/>
          <w:b/>
          <w:bCs/>
          <w:color w:val="372971" w:themeColor="accent5" w:themeShade="80"/>
          <w:sz w:val="24"/>
          <w:szCs w:val="24"/>
        </w:rPr>
      </w:pPr>
      <w:r w:rsidRPr="00C901AB">
        <w:rPr>
          <w:rFonts w:ascii="Bookman Old Style" w:hAnsi="Bookman Old Style"/>
          <w:b/>
          <w:bCs/>
          <w:color w:val="372971" w:themeColor="accent5" w:themeShade="80"/>
          <w:sz w:val="24"/>
          <w:szCs w:val="24"/>
        </w:rPr>
        <w:t>VIZITA STUDIMORE NË AKADEMINË E DREJTËSISË SË TURQISË 6-12 MARS 2016</w:t>
      </w:r>
    </w:p>
    <w:p w:rsidR="00C901AB" w:rsidRPr="000871C1" w:rsidRDefault="00C901AB" w:rsidP="00C901AB">
      <w:pPr>
        <w:shd w:val="clear" w:color="auto" w:fill="FFFFFF"/>
        <w:jc w:val="both"/>
        <w:textAlignment w:val="baseline"/>
        <w:rPr>
          <w:rFonts w:ascii="Bookman Old Style" w:hAnsi="Bookman Old Style"/>
        </w:rPr>
      </w:pPr>
      <w:r w:rsidRPr="000871C1">
        <w:rPr>
          <w:rFonts w:ascii="Bookman Old Style" w:hAnsi="Bookman Old Style"/>
        </w:rPr>
        <w:t xml:space="preserve">Në datat </w:t>
      </w:r>
      <w:r>
        <w:rPr>
          <w:rFonts w:ascii="Bookman Old Style" w:hAnsi="Bookman Old Style"/>
        </w:rPr>
        <w:t>6-12</w:t>
      </w:r>
      <w:r w:rsidRPr="000871C1">
        <w:rPr>
          <w:rFonts w:ascii="Bookman Old Style" w:hAnsi="Bookman Old Style"/>
        </w:rPr>
        <w:t xml:space="preserve"> Mars 201</w:t>
      </w:r>
      <w:r>
        <w:rPr>
          <w:rFonts w:ascii="Bookman Old Style" w:hAnsi="Bookman Old Style"/>
        </w:rPr>
        <w:t>6</w:t>
      </w:r>
      <w:r w:rsidRPr="000871C1">
        <w:rPr>
          <w:rFonts w:ascii="Bookman Old Style" w:hAnsi="Bookman Old Style"/>
        </w:rPr>
        <w:t xml:space="preserve"> një përfaqësi e Shkollës së Magjistraturës, e përbërë nga Drejtori, Stafi Pedagogjik, dhe kandidatët për magjistratë të vitit të parë </w:t>
      </w:r>
      <w:r>
        <w:rPr>
          <w:rFonts w:ascii="Bookman Old Style" w:hAnsi="Bookman Old Style"/>
        </w:rPr>
        <w:t>dy</w:t>
      </w:r>
      <w:r w:rsidRPr="000871C1">
        <w:rPr>
          <w:rFonts w:ascii="Bookman Old Style" w:hAnsi="Bookman Old Style"/>
        </w:rPr>
        <w:t>të realizuan një vizitë studimore në Akademinë e Drejtësisë së Republikës së Turqisë.</w:t>
      </w:r>
    </w:p>
    <w:p w:rsidR="00C901AB" w:rsidRPr="000871C1" w:rsidRDefault="00C901AB" w:rsidP="00C901AB">
      <w:pPr>
        <w:shd w:val="clear" w:color="auto" w:fill="FFFFFF"/>
        <w:jc w:val="both"/>
        <w:textAlignment w:val="baseline"/>
        <w:rPr>
          <w:rFonts w:ascii="Bookman Old Style" w:hAnsi="Bookman Old Style"/>
        </w:rPr>
      </w:pPr>
      <w:r w:rsidRPr="000871C1">
        <w:rPr>
          <w:rFonts w:ascii="Bookman Old Style" w:hAnsi="Bookman Old Style"/>
        </w:rPr>
        <w:t xml:space="preserve">Atje delegacioni nga shkolla u njohën me ngritjen, funksionimin, dhe strukturat përbërëse të Akademisë së Drejtësisë së Turqisë, procedurat e rekrutimit të gjyqtarëve dhe prokurorëve te rinj. U prezantuan me infrastrukturën për realizimin e veprimtarisë së akademisë me anë të vizitës së të gjithë ambienteve funksionale të saj. Gjithashtu u njohën me </w:t>
      </w:r>
      <w:r>
        <w:rPr>
          <w:rFonts w:ascii="Bookman Old Style" w:hAnsi="Bookman Old Style"/>
        </w:rPr>
        <w:t>Sistemin Gjyqësor të Turqisë dhe Agjencisë së Prokurorisë, procedurën e investigimit dhe krimet kibernetik.</w:t>
      </w:r>
      <w:r w:rsidRPr="000871C1">
        <w:rPr>
          <w:rFonts w:ascii="Bookman Old Style" w:hAnsi="Bookman Old Style"/>
        </w:rPr>
        <w:t>.</w:t>
      </w:r>
    </w:p>
    <w:p w:rsidR="00C901AB" w:rsidRPr="000871C1" w:rsidRDefault="00C901AB" w:rsidP="00C901AB">
      <w:pPr>
        <w:shd w:val="clear" w:color="auto" w:fill="FFFFFF"/>
        <w:jc w:val="both"/>
        <w:textAlignment w:val="baseline"/>
        <w:rPr>
          <w:rFonts w:ascii="Bookman Old Style" w:hAnsi="Bookman Old Style"/>
        </w:rPr>
      </w:pPr>
      <w:r w:rsidRPr="000871C1">
        <w:rPr>
          <w:rFonts w:ascii="Bookman Old Style" w:hAnsi="Bookman Old Style"/>
        </w:rPr>
        <w:t xml:space="preserve">Gjatë qëndrimit u kryen gjithashtu edhe disa vizita në institucione të ndryshme të sistemit të drejtësisë turke. </w:t>
      </w:r>
    </w:p>
    <w:p w:rsidR="00C901AB" w:rsidRPr="000871C1" w:rsidRDefault="00C901AB" w:rsidP="00C901AB">
      <w:pPr>
        <w:shd w:val="clear" w:color="auto" w:fill="FFFFFF"/>
        <w:jc w:val="both"/>
        <w:textAlignment w:val="baseline"/>
        <w:rPr>
          <w:rFonts w:ascii="Bookman Old Style" w:hAnsi="Bookman Old Style"/>
        </w:rPr>
      </w:pPr>
      <w:r w:rsidRPr="000871C1">
        <w:rPr>
          <w:rFonts w:ascii="Bookman Old Style" w:hAnsi="Bookman Old Style"/>
        </w:rPr>
        <w:t>U kryen vizita ne </w:t>
      </w:r>
      <w:r>
        <w:rPr>
          <w:rFonts w:ascii="Bookman Old Style" w:hAnsi="Bookman Old Style"/>
        </w:rPr>
        <w:t>Ministrinë e Drejtësisë, në Gjykatën e Kasacionit, në Gjykatën e Shtetit si dhe në Gjykatën Kushtetuese</w:t>
      </w:r>
      <w:r w:rsidRPr="000871C1">
        <w:rPr>
          <w:rFonts w:ascii="Bookman Old Style" w:hAnsi="Bookman Old Style"/>
        </w:rPr>
        <w:t xml:space="preserve">. Në të </w:t>
      </w:r>
      <w:r>
        <w:rPr>
          <w:rFonts w:ascii="Bookman Old Style" w:hAnsi="Bookman Old Style"/>
        </w:rPr>
        <w:t>gjitha</w:t>
      </w:r>
      <w:r w:rsidRPr="000871C1">
        <w:rPr>
          <w:rFonts w:ascii="Bookman Old Style" w:hAnsi="Bookman Old Style"/>
        </w:rPr>
        <w:t xml:space="preserve"> institucionet përfaqësuesit e Shkollës u njohën me përbërjen dhe funksionimin e tyre, njëkohësisht edhe me mënyrën e gjykimit të cështjeve nga secila gjykatë.</w:t>
      </w:r>
      <w:r>
        <w:rPr>
          <w:rFonts w:ascii="Bookman Old Style" w:hAnsi="Bookman Old Style"/>
        </w:rPr>
        <w:t xml:space="preserve"> Gjatë vizitave pjesëmarrësit u njohën me institutin e ekstradimit, politikat me Ballkanin dhe marrëdhëniet me Shqipërinë, si dhe prezantimi i gjuhës së trupit dhe komunikimit efektiv. </w:t>
      </w:r>
    </w:p>
    <w:p w:rsidR="00C901AB" w:rsidRPr="000871C1" w:rsidRDefault="00C901AB" w:rsidP="00C901AB">
      <w:pPr>
        <w:jc w:val="both"/>
        <w:rPr>
          <w:rFonts w:ascii="Bookman Old Style" w:hAnsi="Bookman Old Style"/>
          <w:b/>
          <w:color w:val="632423"/>
        </w:rPr>
      </w:pPr>
      <w:r w:rsidRPr="000871C1">
        <w:rPr>
          <w:rFonts w:ascii="Bookman Old Style" w:hAnsi="Bookman Old Style"/>
        </w:rPr>
        <w:t>Në fund vizita u mbyll me disa aktivitete kulturore ne Stamboll</w:t>
      </w:r>
      <w:r>
        <w:rPr>
          <w:rFonts w:ascii="Bookman Old Style" w:hAnsi="Bookman Old Style"/>
        </w:rPr>
        <w:t>.</w:t>
      </w:r>
    </w:p>
    <w:p w:rsidR="00C901AB" w:rsidRDefault="00C901AB" w:rsidP="00C901AB">
      <w:pPr>
        <w:shd w:val="clear" w:color="auto" w:fill="FFFFFF"/>
        <w:spacing w:after="0" w:line="240" w:lineRule="auto"/>
        <w:jc w:val="both"/>
        <w:textAlignment w:val="baseline"/>
        <w:rPr>
          <w:rFonts w:ascii="Bookman Old Style" w:eastAsia="Times New Roman" w:hAnsi="Bookman Old Style" w:cs="Arial"/>
        </w:rPr>
      </w:pPr>
      <w:r w:rsidRPr="000871C1">
        <w:rPr>
          <w:rFonts w:ascii="Bookman Old Style" w:eastAsia="Times New Roman" w:hAnsi="Bookman Old Style" w:cs="Arial"/>
        </w:rPr>
        <w:lastRenderedPageBreak/>
        <w:t xml:space="preserve"> </w:t>
      </w:r>
      <w:r w:rsidR="008633F3">
        <w:rPr>
          <w:rFonts w:ascii="Bookman Old Style" w:eastAsia="Times New Roman" w:hAnsi="Bookman Old Style" w:cs="Arial"/>
        </w:rPr>
        <w:t xml:space="preserve">               </w:t>
      </w:r>
      <w:r w:rsidRPr="000871C1">
        <w:rPr>
          <w:rFonts w:ascii="Bookman Old Style" w:eastAsia="Times New Roman" w:hAnsi="Bookman Old Style" w:cs="Arial"/>
        </w:rPr>
        <w:t> </w:t>
      </w:r>
      <w:r>
        <w:rPr>
          <w:rFonts w:ascii="Bookman Old Style" w:eastAsia="Times New Roman" w:hAnsi="Bookman Old Style" w:cs="Arial"/>
          <w:noProof/>
          <w:lang w:val="en-GB" w:eastAsia="en-GB"/>
        </w:rPr>
        <w:drawing>
          <wp:inline distT="0" distB="0" distL="0" distR="0">
            <wp:extent cx="5334000" cy="2447925"/>
            <wp:effectExtent l="19050" t="0" r="0" b="0"/>
            <wp:docPr id="188" name="Picture 3" descr="C:\Users\Dori\Desktop\raporti\turq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i\Desktop\raporti\turqia.JPG"/>
                    <pic:cNvPicPr>
                      <a:picLocks noChangeAspect="1" noChangeArrowheads="1"/>
                    </pic:cNvPicPr>
                  </pic:nvPicPr>
                  <pic:blipFill>
                    <a:blip r:embed="rId47"/>
                    <a:srcRect l="3840" t="30704" r="6560" b="14499"/>
                    <a:stretch>
                      <a:fillRect/>
                    </a:stretch>
                  </pic:blipFill>
                  <pic:spPr bwMode="auto">
                    <a:xfrm>
                      <a:off x="0" y="0"/>
                      <a:ext cx="5334000" cy="2447925"/>
                    </a:xfrm>
                    <a:prstGeom prst="rect">
                      <a:avLst/>
                    </a:prstGeom>
                    <a:noFill/>
                    <a:ln w="9525">
                      <a:noFill/>
                      <a:miter lim="800000"/>
                      <a:headEnd/>
                      <a:tailEnd/>
                    </a:ln>
                  </pic:spPr>
                </pic:pic>
              </a:graphicData>
            </a:graphic>
          </wp:inline>
        </w:drawing>
      </w:r>
    </w:p>
    <w:p w:rsidR="00C901AB" w:rsidRPr="009F3E02" w:rsidRDefault="00C901AB" w:rsidP="00C901AB">
      <w:pPr>
        <w:shd w:val="clear" w:color="auto" w:fill="FFFFFF"/>
        <w:spacing w:after="0" w:line="240" w:lineRule="auto"/>
        <w:jc w:val="both"/>
        <w:textAlignment w:val="baseline"/>
        <w:rPr>
          <w:rFonts w:ascii="Bookman Old Style" w:eastAsia="Times New Roman" w:hAnsi="Bookman Old Style" w:cs="Arial"/>
        </w:rPr>
      </w:pPr>
    </w:p>
    <w:p w:rsidR="00C901AB" w:rsidRPr="00C901AB" w:rsidRDefault="00C901AB" w:rsidP="003C4BF1">
      <w:pPr>
        <w:pStyle w:val="ListParagraph"/>
        <w:numPr>
          <w:ilvl w:val="0"/>
          <w:numId w:val="16"/>
        </w:numPr>
        <w:jc w:val="both"/>
        <w:rPr>
          <w:rFonts w:ascii="Bookman Old Style" w:hAnsi="Bookman Old Style"/>
          <w:b/>
          <w:bCs/>
          <w:color w:val="372971" w:themeColor="accent5" w:themeShade="80"/>
          <w:sz w:val="24"/>
          <w:szCs w:val="24"/>
        </w:rPr>
      </w:pPr>
      <w:r w:rsidRPr="00C901AB">
        <w:rPr>
          <w:rFonts w:ascii="Bookman Old Style" w:hAnsi="Bookman Old Style"/>
          <w:b/>
          <w:bCs/>
          <w:color w:val="372971" w:themeColor="accent5" w:themeShade="80"/>
          <w:sz w:val="24"/>
          <w:szCs w:val="24"/>
        </w:rPr>
        <w:t>VIZITA NGA SEKRETARI I PËRGJITHSHËM I KONFERENCËS SË HAGËS, 5-7 PRILL 2016</w:t>
      </w:r>
    </w:p>
    <w:p w:rsidR="00C901AB" w:rsidRPr="00325243" w:rsidRDefault="00C901AB" w:rsidP="00C901AB">
      <w:pPr>
        <w:jc w:val="both"/>
        <w:rPr>
          <w:rFonts w:ascii="Bookman Old Style" w:hAnsi="Bookman Old Style"/>
        </w:rPr>
      </w:pPr>
      <w:r w:rsidRPr="00325243">
        <w:rPr>
          <w:rFonts w:ascii="Bookman Old Style" w:hAnsi="Bookman Old Style"/>
        </w:rPr>
        <w:t>N</w:t>
      </w:r>
      <w:r>
        <w:rPr>
          <w:rFonts w:ascii="Bookman Old Style" w:hAnsi="Bookman Old Style"/>
        </w:rPr>
        <w:t>ë</w:t>
      </w:r>
      <w:r w:rsidRPr="00325243">
        <w:rPr>
          <w:rFonts w:ascii="Bookman Old Style" w:hAnsi="Bookman Old Style"/>
        </w:rPr>
        <w:t xml:space="preserve"> kuad</w:t>
      </w:r>
      <w:r>
        <w:rPr>
          <w:rFonts w:ascii="Bookman Old Style" w:hAnsi="Bookman Old Style"/>
        </w:rPr>
        <w:t>ë</w:t>
      </w:r>
      <w:r w:rsidRPr="00325243">
        <w:rPr>
          <w:rFonts w:ascii="Bookman Old Style" w:hAnsi="Bookman Old Style"/>
        </w:rPr>
        <w:t>r t</w:t>
      </w:r>
      <w:r>
        <w:rPr>
          <w:rFonts w:ascii="Bookman Old Style" w:hAnsi="Bookman Old Style"/>
        </w:rPr>
        <w:t>ë</w:t>
      </w:r>
      <w:r w:rsidRPr="00325243">
        <w:rPr>
          <w:rFonts w:ascii="Bookman Old Style" w:hAnsi="Bookman Old Style"/>
        </w:rPr>
        <w:t xml:space="preserve"> bashk</w:t>
      </w:r>
      <w:r>
        <w:rPr>
          <w:rFonts w:ascii="Bookman Old Style" w:hAnsi="Bookman Old Style"/>
        </w:rPr>
        <w:t>ë</w:t>
      </w:r>
      <w:r w:rsidRPr="00325243">
        <w:rPr>
          <w:rFonts w:ascii="Bookman Old Style" w:hAnsi="Bookman Old Style"/>
        </w:rPr>
        <w:t>punimit me institucionin e Konferenc</w:t>
      </w:r>
      <w:r>
        <w:rPr>
          <w:rFonts w:ascii="Bookman Old Style" w:hAnsi="Bookman Old Style"/>
        </w:rPr>
        <w:t>ë</w:t>
      </w:r>
      <w:r w:rsidRPr="00325243">
        <w:rPr>
          <w:rFonts w:ascii="Bookman Old Style" w:hAnsi="Bookman Old Style"/>
        </w:rPr>
        <w:t>s s</w:t>
      </w:r>
      <w:r>
        <w:rPr>
          <w:rFonts w:ascii="Bookman Old Style" w:hAnsi="Bookman Old Style"/>
        </w:rPr>
        <w:t>ë</w:t>
      </w:r>
      <w:r w:rsidRPr="00325243">
        <w:rPr>
          <w:rFonts w:ascii="Bookman Old Style" w:hAnsi="Bookman Old Style"/>
        </w:rPr>
        <w:t xml:space="preserve"> Hag</w:t>
      </w:r>
      <w:r>
        <w:rPr>
          <w:rFonts w:ascii="Bookman Old Style" w:hAnsi="Bookman Old Style"/>
        </w:rPr>
        <w:t>ë</w:t>
      </w:r>
      <w:r w:rsidRPr="00325243">
        <w:rPr>
          <w:rFonts w:ascii="Bookman Old Style" w:hAnsi="Bookman Old Style"/>
        </w:rPr>
        <w:t>s, u zhvillua n</w:t>
      </w:r>
      <w:r>
        <w:rPr>
          <w:rFonts w:ascii="Bookman Old Style" w:hAnsi="Bookman Old Style"/>
        </w:rPr>
        <w:t>ë</w:t>
      </w:r>
      <w:r w:rsidRPr="00325243">
        <w:rPr>
          <w:rFonts w:ascii="Bookman Old Style" w:hAnsi="Bookman Old Style"/>
        </w:rPr>
        <w:t xml:space="preserve"> Shkoll</w:t>
      </w:r>
      <w:r>
        <w:rPr>
          <w:rFonts w:ascii="Bookman Old Style" w:hAnsi="Bookman Old Style"/>
        </w:rPr>
        <w:t>ë</w:t>
      </w:r>
      <w:r w:rsidRPr="00325243">
        <w:rPr>
          <w:rFonts w:ascii="Bookman Old Style" w:hAnsi="Bookman Old Style"/>
        </w:rPr>
        <w:t xml:space="preserve"> nj</w:t>
      </w:r>
      <w:r>
        <w:rPr>
          <w:rFonts w:ascii="Bookman Old Style" w:hAnsi="Bookman Old Style"/>
        </w:rPr>
        <w:t>ë</w:t>
      </w:r>
      <w:r w:rsidRPr="00325243">
        <w:rPr>
          <w:rFonts w:ascii="Bookman Old Style" w:hAnsi="Bookman Old Style"/>
        </w:rPr>
        <w:t xml:space="preserve"> vizit</w:t>
      </w:r>
      <w:r>
        <w:rPr>
          <w:rFonts w:ascii="Bookman Old Style" w:hAnsi="Bookman Old Style"/>
        </w:rPr>
        <w:t>ë</w:t>
      </w:r>
      <w:r w:rsidRPr="00325243">
        <w:rPr>
          <w:rFonts w:ascii="Bookman Old Style" w:hAnsi="Bookman Old Style"/>
        </w:rPr>
        <w:t xml:space="preserve"> e Sekretarit t</w:t>
      </w:r>
      <w:r>
        <w:rPr>
          <w:rFonts w:ascii="Bookman Old Style" w:hAnsi="Bookman Old Style"/>
        </w:rPr>
        <w:t>ë</w:t>
      </w:r>
      <w:r w:rsidRPr="00325243">
        <w:rPr>
          <w:rFonts w:ascii="Bookman Old Style" w:hAnsi="Bookman Old Style"/>
        </w:rPr>
        <w:t xml:space="preserve"> P</w:t>
      </w:r>
      <w:r>
        <w:rPr>
          <w:rFonts w:ascii="Bookman Old Style" w:hAnsi="Bookman Old Style"/>
        </w:rPr>
        <w:t>ë</w:t>
      </w:r>
      <w:r w:rsidRPr="00325243">
        <w:rPr>
          <w:rFonts w:ascii="Bookman Old Style" w:hAnsi="Bookman Old Style"/>
        </w:rPr>
        <w:t>rgjithsh</w:t>
      </w:r>
      <w:r>
        <w:rPr>
          <w:rFonts w:ascii="Bookman Old Style" w:hAnsi="Bookman Old Style"/>
        </w:rPr>
        <w:t>ë</w:t>
      </w:r>
      <w:r w:rsidRPr="00325243">
        <w:rPr>
          <w:rFonts w:ascii="Bookman Old Style" w:hAnsi="Bookman Old Style"/>
        </w:rPr>
        <w:t>m t</w:t>
      </w:r>
      <w:r>
        <w:rPr>
          <w:rFonts w:ascii="Bookman Old Style" w:hAnsi="Bookman Old Style"/>
        </w:rPr>
        <w:t>ë</w:t>
      </w:r>
      <w:r w:rsidRPr="00325243">
        <w:rPr>
          <w:rFonts w:ascii="Bookman Old Style" w:hAnsi="Bookman Old Style"/>
        </w:rPr>
        <w:t xml:space="preserve"> Konferenc</w:t>
      </w:r>
      <w:r>
        <w:rPr>
          <w:rFonts w:ascii="Bookman Old Style" w:hAnsi="Bookman Old Style"/>
        </w:rPr>
        <w:t>ë</w:t>
      </w:r>
      <w:r w:rsidRPr="00325243">
        <w:rPr>
          <w:rFonts w:ascii="Bookman Old Style" w:hAnsi="Bookman Old Style"/>
        </w:rPr>
        <w:t>s s</w:t>
      </w:r>
      <w:r>
        <w:rPr>
          <w:rFonts w:ascii="Bookman Old Style" w:hAnsi="Bookman Old Style"/>
        </w:rPr>
        <w:t>ë</w:t>
      </w:r>
      <w:r w:rsidRPr="00325243">
        <w:rPr>
          <w:rFonts w:ascii="Bookman Old Style" w:hAnsi="Bookman Old Style"/>
        </w:rPr>
        <w:t xml:space="preserve"> Hag</w:t>
      </w:r>
      <w:r>
        <w:rPr>
          <w:rFonts w:ascii="Bookman Old Style" w:hAnsi="Bookman Old Style"/>
        </w:rPr>
        <w:t>ë</w:t>
      </w:r>
      <w:r w:rsidRPr="00325243">
        <w:rPr>
          <w:rFonts w:ascii="Bookman Old Style" w:hAnsi="Bookman Old Style"/>
        </w:rPr>
        <w:t>s, Z.Bernasconi gjat</w:t>
      </w:r>
      <w:r>
        <w:rPr>
          <w:rFonts w:ascii="Bookman Old Style" w:hAnsi="Bookman Old Style"/>
        </w:rPr>
        <w:t>ë</w:t>
      </w:r>
      <w:r w:rsidRPr="00325243">
        <w:rPr>
          <w:rFonts w:ascii="Bookman Old Style" w:hAnsi="Bookman Old Style"/>
        </w:rPr>
        <w:t xml:space="preserve"> periudh</w:t>
      </w:r>
      <w:r>
        <w:rPr>
          <w:rFonts w:ascii="Bookman Old Style" w:hAnsi="Bookman Old Style"/>
        </w:rPr>
        <w:t>ë</w:t>
      </w:r>
      <w:r w:rsidRPr="00325243">
        <w:rPr>
          <w:rFonts w:ascii="Bookman Old Style" w:hAnsi="Bookman Old Style"/>
        </w:rPr>
        <w:t>s 5-7 Prill 2016. Gjat</w:t>
      </w:r>
      <w:r>
        <w:rPr>
          <w:rFonts w:ascii="Bookman Old Style" w:hAnsi="Bookman Old Style"/>
        </w:rPr>
        <w:t>ë</w:t>
      </w:r>
      <w:r w:rsidRPr="00325243">
        <w:rPr>
          <w:rFonts w:ascii="Bookman Old Style" w:hAnsi="Bookman Old Style"/>
        </w:rPr>
        <w:t xml:space="preserve"> q</w:t>
      </w:r>
      <w:r>
        <w:rPr>
          <w:rFonts w:ascii="Bookman Old Style" w:hAnsi="Bookman Old Style"/>
        </w:rPr>
        <w:t>ë</w:t>
      </w:r>
      <w:r w:rsidRPr="00325243">
        <w:rPr>
          <w:rFonts w:ascii="Bookman Old Style" w:hAnsi="Bookman Old Style"/>
        </w:rPr>
        <w:t>ndrimit t</w:t>
      </w:r>
      <w:r>
        <w:rPr>
          <w:rFonts w:ascii="Bookman Old Style" w:hAnsi="Bookman Old Style"/>
        </w:rPr>
        <w:t>ë</w:t>
      </w:r>
      <w:r w:rsidRPr="00325243">
        <w:rPr>
          <w:rFonts w:ascii="Bookman Old Style" w:hAnsi="Bookman Old Style"/>
        </w:rPr>
        <w:t xml:space="preserve"> tij n</w:t>
      </w:r>
      <w:r>
        <w:rPr>
          <w:rFonts w:ascii="Bookman Old Style" w:hAnsi="Bookman Old Style"/>
        </w:rPr>
        <w:t>ë</w:t>
      </w:r>
      <w:r w:rsidRPr="00325243">
        <w:rPr>
          <w:rFonts w:ascii="Bookman Old Style" w:hAnsi="Bookman Old Style"/>
        </w:rPr>
        <w:t xml:space="preserve"> Tiran</w:t>
      </w:r>
      <w:r>
        <w:rPr>
          <w:rFonts w:ascii="Bookman Old Style" w:hAnsi="Bookman Old Style"/>
        </w:rPr>
        <w:t>ë</w:t>
      </w:r>
      <w:r w:rsidRPr="00325243">
        <w:rPr>
          <w:rFonts w:ascii="Bookman Old Style" w:hAnsi="Bookman Old Style"/>
        </w:rPr>
        <w:t>, Z. Bernasconi zhvilloi takime t</w:t>
      </w:r>
      <w:r>
        <w:rPr>
          <w:rFonts w:ascii="Bookman Old Style" w:hAnsi="Bookman Old Style"/>
        </w:rPr>
        <w:t>ë</w:t>
      </w:r>
      <w:r w:rsidRPr="00325243">
        <w:rPr>
          <w:rFonts w:ascii="Bookman Old Style" w:hAnsi="Bookman Old Style"/>
        </w:rPr>
        <w:t xml:space="preserve"> ndryshme me p</w:t>
      </w:r>
      <w:r>
        <w:rPr>
          <w:rFonts w:ascii="Bookman Old Style" w:hAnsi="Bookman Old Style"/>
        </w:rPr>
        <w:t>ë</w:t>
      </w:r>
      <w:r w:rsidRPr="00325243">
        <w:rPr>
          <w:rFonts w:ascii="Bookman Old Style" w:hAnsi="Bookman Old Style"/>
        </w:rPr>
        <w:t>rfaq</w:t>
      </w:r>
      <w:r>
        <w:rPr>
          <w:rFonts w:ascii="Bookman Old Style" w:hAnsi="Bookman Old Style"/>
        </w:rPr>
        <w:t>ë</w:t>
      </w:r>
      <w:r w:rsidRPr="00325243">
        <w:rPr>
          <w:rFonts w:ascii="Bookman Old Style" w:hAnsi="Bookman Old Style"/>
        </w:rPr>
        <w:t>sues t</w:t>
      </w:r>
      <w:r>
        <w:rPr>
          <w:rFonts w:ascii="Bookman Old Style" w:hAnsi="Bookman Old Style"/>
        </w:rPr>
        <w:t>ë</w:t>
      </w:r>
      <w:r w:rsidRPr="00325243">
        <w:rPr>
          <w:rFonts w:ascii="Bookman Old Style" w:hAnsi="Bookman Old Style"/>
        </w:rPr>
        <w:t xml:space="preserve"> institucioneve dhe organizatave t</w:t>
      </w:r>
      <w:r>
        <w:rPr>
          <w:rFonts w:ascii="Bookman Old Style" w:hAnsi="Bookman Old Style"/>
        </w:rPr>
        <w:t>ë</w:t>
      </w:r>
      <w:r w:rsidRPr="00325243">
        <w:rPr>
          <w:rFonts w:ascii="Bookman Old Style" w:hAnsi="Bookman Old Style"/>
        </w:rPr>
        <w:t xml:space="preserve"> ndryshme p</w:t>
      </w:r>
      <w:r>
        <w:rPr>
          <w:rFonts w:ascii="Bookman Old Style" w:hAnsi="Bookman Old Style"/>
        </w:rPr>
        <w:t>ë</w:t>
      </w:r>
      <w:r w:rsidRPr="00325243">
        <w:rPr>
          <w:rFonts w:ascii="Bookman Old Style" w:hAnsi="Bookman Old Style"/>
        </w:rPr>
        <w:t>r promovimin e an</w:t>
      </w:r>
      <w:r>
        <w:rPr>
          <w:rFonts w:ascii="Bookman Old Style" w:hAnsi="Bookman Old Style"/>
        </w:rPr>
        <w:t>ë</w:t>
      </w:r>
      <w:r w:rsidRPr="00325243">
        <w:rPr>
          <w:rFonts w:ascii="Bookman Old Style" w:hAnsi="Bookman Old Style"/>
        </w:rPr>
        <w:t>tar</w:t>
      </w:r>
      <w:r>
        <w:rPr>
          <w:rFonts w:ascii="Bookman Old Style" w:hAnsi="Bookman Old Style"/>
        </w:rPr>
        <w:t>ë</w:t>
      </w:r>
      <w:r w:rsidRPr="00325243">
        <w:rPr>
          <w:rFonts w:ascii="Bookman Old Style" w:hAnsi="Bookman Old Style"/>
        </w:rPr>
        <w:t>simit n</w:t>
      </w:r>
      <w:r>
        <w:rPr>
          <w:rFonts w:ascii="Bookman Old Style" w:hAnsi="Bookman Old Style"/>
        </w:rPr>
        <w:t>ë</w:t>
      </w:r>
      <w:r w:rsidRPr="00325243">
        <w:rPr>
          <w:rFonts w:ascii="Bookman Old Style" w:hAnsi="Bookman Old Style"/>
        </w:rPr>
        <w:t xml:space="preserve"> Konventat e ndryshme t</w:t>
      </w:r>
      <w:r>
        <w:rPr>
          <w:rFonts w:ascii="Bookman Old Style" w:hAnsi="Bookman Old Style"/>
        </w:rPr>
        <w:t>ë</w:t>
      </w:r>
      <w:r w:rsidRPr="00325243">
        <w:rPr>
          <w:rFonts w:ascii="Bookman Old Style" w:hAnsi="Bookman Old Style"/>
        </w:rPr>
        <w:t xml:space="preserve"> Hag</w:t>
      </w:r>
      <w:r>
        <w:rPr>
          <w:rFonts w:ascii="Bookman Old Style" w:hAnsi="Bookman Old Style"/>
        </w:rPr>
        <w:t>ë</w:t>
      </w:r>
      <w:r w:rsidRPr="00325243">
        <w:rPr>
          <w:rFonts w:ascii="Bookman Old Style" w:hAnsi="Bookman Old Style"/>
        </w:rPr>
        <w:t xml:space="preserve">s. </w:t>
      </w:r>
    </w:p>
    <w:p w:rsidR="00C901AB" w:rsidRPr="00325243" w:rsidRDefault="00C901AB" w:rsidP="00C901AB">
      <w:pPr>
        <w:jc w:val="both"/>
        <w:rPr>
          <w:rFonts w:ascii="Bookman Old Style" w:hAnsi="Bookman Old Style"/>
        </w:rPr>
      </w:pPr>
      <w:r w:rsidRPr="00325243">
        <w:rPr>
          <w:rFonts w:ascii="Bookman Old Style" w:hAnsi="Bookman Old Style"/>
        </w:rPr>
        <w:t>U zhvilluan takime me Ministrin e Drejt</w:t>
      </w:r>
      <w:r>
        <w:rPr>
          <w:rFonts w:ascii="Bookman Old Style" w:hAnsi="Bookman Old Style"/>
        </w:rPr>
        <w:t>ë</w:t>
      </w:r>
      <w:r w:rsidRPr="00325243">
        <w:rPr>
          <w:rFonts w:ascii="Bookman Old Style" w:hAnsi="Bookman Old Style"/>
        </w:rPr>
        <w:t>sis</w:t>
      </w:r>
      <w:r>
        <w:rPr>
          <w:rFonts w:ascii="Bookman Old Style" w:hAnsi="Bookman Old Style"/>
        </w:rPr>
        <w:t>ë</w:t>
      </w:r>
      <w:r w:rsidRPr="00325243">
        <w:rPr>
          <w:rFonts w:ascii="Bookman Old Style" w:hAnsi="Bookman Old Style"/>
        </w:rPr>
        <w:t>, Z.Manjani, n</w:t>
      </w:r>
      <w:r>
        <w:rPr>
          <w:rFonts w:ascii="Bookman Old Style" w:hAnsi="Bookman Old Style"/>
        </w:rPr>
        <w:t>ë</w:t>
      </w:r>
      <w:r w:rsidRPr="00325243">
        <w:rPr>
          <w:rFonts w:ascii="Bookman Old Style" w:hAnsi="Bookman Old Style"/>
        </w:rPr>
        <w:t xml:space="preserve"> K</w:t>
      </w:r>
      <w:r>
        <w:rPr>
          <w:rFonts w:ascii="Bookman Old Style" w:hAnsi="Bookman Old Style"/>
        </w:rPr>
        <w:t>ë</w:t>
      </w:r>
      <w:r w:rsidRPr="00325243">
        <w:rPr>
          <w:rFonts w:ascii="Bookman Old Style" w:hAnsi="Bookman Old Style"/>
        </w:rPr>
        <w:t>shillin e Lart</w:t>
      </w:r>
      <w:r>
        <w:rPr>
          <w:rFonts w:ascii="Bookman Old Style" w:hAnsi="Bookman Old Style"/>
        </w:rPr>
        <w:t>ë</w:t>
      </w:r>
      <w:r w:rsidRPr="00325243">
        <w:rPr>
          <w:rFonts w:ascii="Bookman Old Style" w:hAnsi="Bookman Old Style"/>
        </w:rPr>
        <w:t xml:space="preserve"> t</w:t>
      </w:r>
      <w:r>
        <w:rPr>
          <w:rFonts w:ascii="Bookman Old Style" w:hAnsi="Bookman Old Style"/>
        </w:rPr>
        <w:t>ë</w:t>
      </w:r>
      <w:r w:rsidRPr="00325243">
        <w:rPr>
          <w:rFonts w:ascii="Bookman Old Style" w:hAnsi="Bookman Old Style"/>
        </w:rPr>
        <w:t xml:space="preserve"> Drejt</w:t>
      </w:r>
      <w:r>
        <w:rPr>
          <w:rFonts w:ascii="Bookman Old Style" w:hAnsi="Bookman Old Style"/>
        </w:rPr>
        <w:t>ë</w:t>
      </w:r>
      <w:r w:rsidRPr="00325243">
        <w:rPr>
          <w:rFonts w:ascii="Bookman Old Style" w:hAnsi="Bookman Old Style"/>
        </w:rPr>
        <w:t>sis</w:t>
      </w:r>
      <w:r>
        <w:rPr>
          <w:rFonts w:ascii="Bookman Old Style" w:hAnsi="Bookman Old Style"/>
        </w:rPr>
        <w:t>ë</w:t>
      </w:r>
      <w:r w:rsidRPr="00325243">
        <w:rPr>
          <w:rFonts w:ascii="Bookman Old Style" w:hAnsi="Bookman Old Style"/>
        </w:rPr>
        <w:t xml:space="preserve"> me Zj. Marsida Xhaferllari, takim n</w:t>
      </w:r>
      <w:r>
        <w:rPr>
          <w:rFonts w:ascii="Bookman Old Style" w:hAnsi="Bookman Old Style"/>
        </w:rPr>
        <w:t>ë</w:t>
      </w:r>
      <w:r w:rsidRPr="00325243">
        <w:rPr>
          <w:rFonts w:ascii="Bookman Old Style" w:hAnsi="Bookman Old Style"/>
        </w:rPr>
        <w:t xml:space="preserve"> Ministrin</w:t>
      </w:r>
      <w:r>
        <w:rPr>
          <w:rFonts w:ascii="Bookman Old Style" w:hAnsi="Bookman Old Style"/>
        </w:rPr>
        <w:t>ë</w:t>
      </w:r>
      <w:r w:rsidRPr="00325243">
        <w:rPr>
          <w:rFonts w:ascii="Bookman Old Style" w:hAnsi="Bookman Old Style"/>
        </w:rPr>
        <w:t xml:space="preserve"> e Jashtme, me Ministren e Ekonomis</w:t>
      </w:r>
      <w:r>
        <w:rPr>
          <w:rFonts w:ascii="Bookman Old Style" w:hAnsi="Bookman Old Style"/>
        </w:rPr>
        <w:t>ë</w:t>
      </w:r>
      <w:r w:rsidRPr="00325243">
        <w:rPr>
          <w:rFonts w:ascii="Bookman Old Style" w:hAnsi="Bookman Old Style"/>
        </w:rPr>
        <w:t>, Zj. Milva Ikonomi, si dhe me Kryetarin e Dhom</w:t>
      </w:r>
      <w:r>
        <w:rPr>
          <w:rFonts w:ascii="Bookman Old Style" w:hAnsi="Bookman Old Style"/>
        </w:rPr>
        <w:t>ë</w:t>
      </w:r>
      <w:r w:rsidRPr="00325243">
        <w:rPr>
          <w:rFonts w:ascii="Bookman Old Style" w:hAnsi="Bookman Old Style"/>
        </w:rPr>
        <w:t>s s</w:t>
      </w:r>
      <w:r>
        <w:rPr>
          <w:rFonts w:ascii="Bookman Old Style" w:hAnsi="Bookman Old Style"/>
        </w:rPr>
        <w:t>ë</w:t>
      </w:r>
      <w:r w:rsidRPr="00325243">
        <w:rPr>
          <w:rFonts w:ascii="Bookman Old Style" w:hAnsi="Bookman Old Style"/>
        </w:rPr>
        <w:t xml:space="preserve"> Tregtis</w:t>
      </w:r>
      <w:r>
        <w:rPr>
          <w:rFonts w:ascii="Bookman Old Style" w:hAnsi="Bookman Old Style"/>
        </w:rPr>
        <w:t>ë</w:t>
      </w:r>
      <w:r w:rsidRPr="00325243">
        <w:rPr>
          <w:rFonts w:ascii="Bookman Old Style" w:hAnsi="Bookman Old Style"/>
        </w:rPr>
        <w:t xml:space="preserve">, Z.Nikolin Jaka. </w:t>
      </w:r>
    </w:p>
    <w:p w:rsidR="00C901AB" w:rsidRPr="00C901AB" w:rsidRDefault="00C901AB" w:rsidP="00C901AB">
      <w:pPr>
        <w:jc w:val="both"/>
        <w:rPr>
          <w:rFonts w:ascii="Bookman Old Style" w:hAnsi="Bookman Old Style"/>
        </w:rPr>
      </w:pPr>
      <w:r w:rsidRPr="00325243">
        <w:rPr>
          <w:rFonts w:ascii="Bookman Old Style" w:hAnsi="Bookman Old Style"/>
        </w:rPr>
        <w:t>Vizita u mbyll me nj</w:t>
      </w:r>
      <w:r>
        <w:rPr>
          <w:rFonts w:ascii="Bookman Old Style" w:hAnsi="Bookman Old Style"/>
        </w:rPr>
        <w:t>ë</w:t>
      </w:r>
      <w:r w:rsidRPr="00325243">
        <w:rPr>
          <w:rFonts w:ascii="Bookman Old Style" w:hAnsi="Bookman Old Style"/>
        </w:rPr>
        <w:t xml:space="preserve"> seminar t</w:t>
      </w:r>
      <w:r>
        <w:rPr>
          <w:rFonts w:ascii="Bookman Old Style" w:hAnsi="Bookman Old Style"/>
        </w:rPr>
        <w:t>ë</w:t>
      </w:r>
      <w:r w:rsidRPr="00325243">
        <w:rPr>
          <w:rFonts w:ascii="Bookman Old Style" w:hAnsi="Bookman Old Style"/>
        </w:rPr>
        <w:t xml:space="preserve"> shkurt</w:t>
      </w:r>
      <w:r>
        <w:rPr>
          <w:rFonts w:ascii="Bookman Old Style" w:hAnsi="Bookman Old Style"/>
        </w:rPr>
        <w:t>ë</w:t>
      </w:r>
      <w:r w:rsidRPr="00325243">
        <w:rPr>
          <w:rFonts w:ascii="Bookman Old Style" w:hAnsi="Bookman Old Style"/>
        </w:rPr>
        <w:t>r me p</w:t>
      </w:r>
      <w:r>
        <w:rPr>
          <w:rFonts w:ascii="Bookman Old Style" w:hAnsi="Bookman Old Style"/>
        </w:rPr>
        <w:t>ë</w:t>
      </w:r>
      <w:r w:rsidRPr="00325243">
        <w:rPr>
          <w:rFonts w:ascii="Bookman Old Style" w:hAnsi="Bookman Old Style"/>
        </w:rPr>
        <w:t>rfaq</w:t>
      </w:r>
      <w:r>
        <w:rPr>
          <w:rFonts w:ascii="Bookman Old Style" w:hAnsi="Bookman Old Style"/>
        </w:rPr>
        <w:t>ë</w:t>
      </w:r>
      <w:r w:rsidRPr="00325243">
        <w:rPr>
          <w:rFonts w:ascii="Bookman Old Style" w:hAnsi="Bookman Old Style"/>
        </w:rPr>
        <w:t>sues t</w:t>
      </w:r>
      <w:r>
        <w:rPr>
          <w:rFonts w:ascii="Bookman Old Style" w:hAnsi="Bookman Old Style"/>
        </w:rPr>
        <w:t>ë</w:t>
      </w:r>
      <w:r w:rsidRPr="00325243">
        <w:rPr>
          <w:rFonts w:ascii="Bookman Old Style" w:hAnsi="Bookman Old Style"/>
        </w:rPr>
        <w:t xml:space="preserve"> Shkoll</w:t>
      </w:r>
      <w:r>
        <w:rPr>
          <w:rFonts w:ascii="Bookman Old Style" w:hAnsi="Bookman Old Style"/>
        </w:rPr>
        <w:t>ë</w:t>
      </w:r>
      <w:r w:rsidRPr="00325243">
        <w:rPr>
          <w:rFonts w:ascii="Bookman Old Style" w:hAnsi="Bookman Old Style"/>
        </w:rPr>
        <w:t>s s</w:t>
      </w:r>
      <w:r>
        <w:rPr>
          <w:rFonts w:ascii="Bookman Old Style" w:hAnsi="Bookman Old Style"/>
        </w:rPr>
        <w:t>ë</w:t>
      </w:r>
      <w:r w:rsidRPr="00325243">
        <w:rPr>
          <w:rFonts w:ascii="Bookman Old Style" w:hAnsi="Bookman Old Style"/>
        </w:rPr>
        <w:t xml:space="preserve"> Magjistratur</w:t>
      </w:r>
      <w:r>
        <w:rPr>
          <w:rFonts w:ascii="Bookman Old Style" w:hAnsi="Bookman Old Style"/>
        </w:rPr>
        <w:t>ë</w:t>
      </w:r>
      <w:r w:rsidRPr="00325243">
        <w:rPr>
          <w:rFonts w:ascii="Bookman Old Style" w:hAnsi="Bookman Old Style"/>
        </w:rPr>
        <w:t>s, Ministris</w:t>
      </w:r>
      <w:r>
        <w:rPr>
          <w:rFonts w:ascii="Bookman Old Style" w:hAnsi="Bookman Old Style"/>
        </w:rPr>
        <w:t>ë</w:t>
      </w:r>
      <w:r w:rsidRPr="00325243">
        <w:rPr>
          <w:rFonts w:ascii="Bookman Old Style" w:hAnsi="Bookman Old Style"/>
        </w:rPr>
        <w:t xml:space="preserve"> s</w:t>
      </w:r>
      <w:r>
        <w:rPr>
          <w:rFonts w:ascii="Bookman Old Style" w:hAnsi="Bookman Old Style"/>
        </w:rPr>
        <w:t>ë</w:t>
      </w:r>
      <w:r w:rsidRPr="00325243">
        <w:rPr>
          <w:rFonts w:ascii="Bookman Old Style" w:hAnsi="Bookman Old Style"/>
        </w:rPr>
        <w:t xml:space="preserve"> Drejt</w:t>
      </w:r>
      <w:r>
        <w:rPr>
          <w:rFonts w:ascii="Bookman Old Style" w:hAnsi="Bookman Old Style"/>
        </w:rPr>
        <w:t>ë</w:t>
      </w:r>
      <w:r w:rsidRPr="00325243">
        <w:rPr>
          <w:rFonts w:ascii="Bookman Old Style" w:hAnsi="Bookman Old Style"/>
        </w:rPr>
        <w:t>sis</w:t>
      </w:r>
      <w:r>
        <w:rPr>
          <w:rFonts w:ascii="Bookman Old Style" w:hAnsi="Bookman Old Style"/>
        </w:rPr>
        <w:t>ë</w:t>
      </w:r>
      <w:r w:rsidRPr="00325243">
        <w:rPr>
          <w:rFonts w:ascii="Bookman Old Style" w:hAnsi="Bookman Old Style"/>
        </w:rPr>
        <w:t xml:space="preserve"> dhe K</w:t>
      </w:r>
      <w:r>
        <w:rPr>
          <w:rFonts w:ascii="Bookman Old Style" w:hAnsi="Bookman Old Style"/>
        </w:rPr>
        <w:t>ë</w:t>
      </w:r>
      <w:r w:rsidRPr="00325243">
        <w:rPr>
          <w:rFonts w:ascii="Bookman Old Style" w:hAnsi="Bookman Old Style"/>
        </w:rPr>
        <w:t>shillit t</w:t>
      </w:r>
      <w:r>
        <w:rPr>
          <w:rFonts w:ascii="Bookman Old Style" w:hAnsi="Bookman Old Style"/>
        </w:rPr>
        <w:t>ë</w:t>
      </w:r>
      <w:r w:rsidRPr="00325243">
        <w:rPr>
          <w:rFonts w:ascii="Bookman Old Style" w:hAnsi="Bookman Old Style"/>
        </w:rPr>
        <w:t xml:space="preserve"> Lart</w:t>
      </w:r>
      <w:r>
        <w:rPr>
          <w:rFonts w:ascii="Bookman Old Style" w:hAnsi="Bookman Old Style"/>
        </w:rPr>
        <w:t>ë</w:t>
      </w:r>
      <w:r w:rsidRPr="00325243">
        <w:rPr>
          <w:rFonts w:ascii="Bookman Old Style" w:hAnsi="Bookman Old Style"/>
        </w:rPr>
        <w:t xml:space="preserve"> t</w:t>
      </w:r>
      <w:r>
        <w:rPr>
          <w:rFonts w:ascii="Bookman Old Style" w:hAnsi="Bookman Old Style"/>
        </w:rPr>
        <w:t>ë</w:t>
      </w:r>
      <w:r w:rsidRPr="00325243">
        <w:rPr>
          <w:rFonts w:ascii="Bookman Old Style" w:hAnsi="Bookman Old Style"/>
        </w:rPr>
        <w:t xml:space="preserve"> Drejt</w:t>
      </w:r>
      <w:r>
        <w:rPr>
          <w:rFonts w:ascii="Bookman Old Style" w:hAnsi="Bookman Old Style"/>
        </w:rPr>
        <w:t>ë</w:t>
      </w:r>
      <w:r w:rsidRPr="00325243">
        <w:rPr>
          <w:rFonts w:ascii="Bookman Old Style" w:hAnsi="Bookman Old Style"/>
        </w:rPr>
        <w:t>sis</w:t>
      </w:r>
      <w:r>
        <w:rPr>
          <w:rFonts w:ascii="Bookman Old Style" w:hAnsi="Bookman Old Style"/>
        </w:rPr>
        <w:t>ë</w:t>
      </w:r>
      <w:r w:rsidRPr="00325243">
        <w:rPr>
          <w:rFonts w:ascii="Bookman Old Style" w:hAnsi="Bookman Old Style"/>
        </w:rPr>
        <w:t xml:space="preserve"> ku u diskutua identifikimi i nevojave t</w:t>
      </w:r>
      <w:r>
        <w:rPr>
          <w:rFonts w:ascii="Bookman Old Style" w:hAnsi="Bookman Old Style"/>
        </w:rPr>
        <w:t>ë</w:t>
      </w:r>
      <w:r w:rsidRPr="00325243">
        <w:rPr>
          <w:rFonts w:ascii="Bookman Old Style" w:hAnsi="Bookman Old Style"/>
        </w:rPr>
        <w:t xml:space="preserve"> trajnimit n</w:t>
      </w:r>
      <w:r>
        <w:rPr>
          <w:rFonts w:ascii="Bookman Old Style" w:hAnsi="Bookman Old Style"/>
        </w:rPr>
        <w:t>ë</w:t>
      </w:r>
      <w:r w:rsidRPr="00325243">
        <w:rPr>
          <w:rFonts w:ascii="Bookman Old Style" w:hAnsi="Bookman Old Style"/>
        </w:rPr>
        <w:t xml:space="preserve"> lidhje me konvent</w:t>
      </w:r>
      <w:r>
        <w:rPr>
          <w:rFonts w:ascii="Bookman Old Style" w:hAnsi="Bookman Old Style"/>
        </w:rPr>
        <w:t>ë</w:t>
      </w:r>
      <w:r w:rsidRPr="00325243">
        <w:rPr>
          <w:rFonts w:ascii="Bookman Old Style" w:hAnsi="Bookman Old Style"/>
        </w:rPr>
        <w:t>n p</w:t>
      </w:r>
      <w:r>
        <w:rPr>
          <w:rFonts w:ascii="Bookman Old Style" w:hAnsi="Bookman Old Style"/>
        </w:rPr>
        <w:t>ë</w:t>
      </w:r>
      <w:r w:rsidRPr="00325243">
        <w:rPr>
          <w:rFonts w:ascii="Bookman Old Style" w:hAnsi="Bookman Old Style"/>
        </w:rPr>
        <w:t>r rr</w:t>
      </w:r>
      <w:r>
        <w:rPr>
          <w:rFonts w:ascii="Bookman Old Style" w:hAnsi="Bookman Old Style"/>
        </w:rPr>
        <w:t>ë</w:t>
      </w:r>
      <w:r w:rsidRPr="00325243">
        <w:rPr>
          <w:rFonts w:ascii="Bookman Old Style" w:hAnsi="Bookman Old Style"/>
        </w:rPr>
        <w:t>mbimin e f</w:t>
      </w:r>
      <w:r>
        <w:rPr>
          <w:rFonts w:ascii="Bookman Old Style" w:hAnsi="Bookman Old Style"/>
        </w:rPr>
        <w:t>ë</w:t>
      </w:r>
      <w:r w:rsidRPr="00325243">
        <w:rPr>
          <w:rFonts w:ascii="Bookman Old Style" w:hAnsi="Bookman Old Style"/>
        </w:rPr>
        <w:t>mij</w:t>
      </w:r>
      <w:r>
        <w:rPr>
          <w:rFonts w:ascii="Bookman Old Style" w:hAnsi="Bookman Old Style"/>
        </w:rPr>
        <w:t>ë</w:t>
      </w:r>
      <w:r w:rsidRPr="00325243">
        <w:rPr>
          <w:rFonts w:ascii="Bookman Old Style" w:hAnsi="Bookman Old Style"/>
        </w:rPr>
        <w:t>ve dhe konvent</w:t>
      </w:r>
      <w:r>
        <w:rPr>
          <w:rFonts w:ascii="Bookman Old Style" w:hAnsi="Bookman Old Style"/>
        </w:rPr>
        <w:t>ë</w:t>
      </w:r>
      <w:r w:rsidRPr="00325243">
        <w:rPr>
          <w:rFonts w:ascii="Bookman Old Style" w:hAnsi="Bookman Old Style"/>
        </w:rPr>
        <w:t xml:space="preserve">n Choice of Court. </w:t>
      </w:r>
    </w:p>
    <w:p w:rsidR="00C901AB" w:rsidRPr="00C901AB" w:rsidRDefault="00C901AB" w:rsidP="003C4BF1">
      <w:pPr>
        <w:pStyle w:val="ListParagraph"/>
        <w:numPr>
          <w:ilvl w:val="0"/>
          <w:numId w:val="16"/>
        </w:numPr>
        <w:jc w:val="both"/>
        <w:rPr>
          <w:rFonts w:ascii="Bookman Old Style" w:hAnsi="Bookman Old Style"/>
          <w:b/>
          <w:bCs/>
          <w:color w:val="372971" w:themeColor="accent5" w:themeShade="80"/>
          <w:sz w:val="24"/>
          <w:szCs w:val="24"/>
        </w:rPr>
      </w:pPr>
      <w:r w:rsidRPr="00C901AB">
        <w:rPr>
          <w:rFonts w:ascii="Bookman Old Style" w:hAnsi="Bookman Old Style"/>
          <w:b/>
          <w:bCs/>
          <w:color w:val="372971" w:themeColor="accent5" w:themeShade="80"/>
          <w:sz w:val="24"/>
          <w:szCs w:val="24"/>
        </w:rPr>
        <w:t>VIZITA E STUDENTËVE NË PARLAMENTIN EVROPIAN DHE GJEDNJ – Prill 2016</w:t>
      </w:r>
    </w:p>
    <w:p w:rsidR="00C901AB" w:rsidRDefault="00C901AB" w:rsidP="00C901AB">
      <w:pPr>
        <w:jc w:val="both"/>
        <w:rPr>
          <w:rFonts w:ascii="Bookman Old Style" w:hAnsi="Bookman Old Style"/>
        </w:rPr>
      </w:pPr>
      <w:r w:rsidRPr="00FF0194">
        <w:rPr>
          <w:rFonts w:ascii="Bookman Old Style" w:hAnsi="Bookman Old Style"/>
        </w:rPr>
        <w:t>N</w:t>
      </w:r>
      <w:r>
        <w:rPr>
          <w:rFonts w:ascii="Bookman Old Style" w:hAnsi="Bookman Old Style"/>
        </w:rPr>
        <w:t>ë</w:t>
      </w:r>
      <w:r w:rsidRPr="00FF0194">
        <w:rPr>
          <w:rFonts w:ascii="Bookman Old Style" w:hAnsi="Bookman Old Style"/>
        </w:rPr>
        <w:t xml:space="preserve"> vijim t</w:t>
      </w:r>
      <w:r>
        <w:rPr>
          <w:rFonts w:ascii="Bookman Old Style" w:hAnsi="Bookman Old Style"/>
        </w:rPr>
        <w:t>ë</w:t>
      </w:r>
      <w:r w:rsidRPr="00FF0194">
        <w:rPr>
          <w:rFonts w:ascii="Bookman Old Style" w:hAnsi="Bookman Old Style"/>
        </w:rPr>
        <w:t xml:space="preserve"> tradit</w:t>
      </w:r>
      <w:r>
        <w:rPr>
          <w:rFonts w:ascii="Bookman Old Style" w:hAnsi="Bookman Old Style"/>
        </w:rPr>
        <w:t>ë</w:t>
      </w:r>
      <w:r w:rsidRPr="00FF0194">
        <w:rPr>
          <w:rFonts w:ascii="Bookman Old Style" w:hAnsi="Bookman Old Style"/>
        </w:rPr>
        <w:t>s s</w:t>
      </w:r>
      <w:r>
        <w:rPr>
          <w:rFonts w:ascii="Bookman Old Style" w:hAnsi="Bookman Old Style"/>
        </w:rPr>
        <w:t>ë</w:t>
      </w:r>
      <w:r w:rsidRPr="00FF0194">
        <w:rPr>
          <w:rFonts w:ascii="Bookman Old Style" w:hAnsi="Bookman Old Style"/>
        </w:rPr>
        <w:t xml:space="preserve"> vizit</w:t>
      </w:r>
      <w:r>
        <w:rPr>
          <w:rFonts w:ascii="Bookman Old Style" w:hAnsi="Bookman Old Style"/>
        </w:rPr>
        <w:t>ë</w:t>
      </w:r>
      <w:r w:rsidRPr="00FF0194">
        <w:rPr>
          <w:rFonts w:ascii="Bookman Old Style" w:hAnsi="Bookman Old Style"/>
        </w:rPr>
        <w:t>s n</w:t>
      </w:r>
      <w:r>
        <w:rPr>
          <w:rFonts w:ascii="Bookman Old Style" w:hAnsi="Bookman Old Style"/>
        </w:rPr>
        <w:t>ë</w:t>
      </w:r>
      <w:r w:rsidRPr="00FF0194">
        <w:rPr>
          <w:rFonts w:ascii="Bookman Old Style" w:hAnsi="Bookman Old Style"/>
        </w:rPr>
        <w:t xml:space="preserve"> institucioneve t</w:t>
      </w:r>
      <w:r>
        <w:rPr>
          <w:rFonts w:ascii="Bookman Old Style" w:hAnsi="Bookman Old Style"/>
        </w:rPr>
        <w:t>ë</w:t>
      </w:r>
      <w:r w:rsidRPr="00FF0194">
        <w:rPr>
          <w:rFonts w:ascii="Bookman Old Style" w:hAnsi="Bookman Old Style"/>
        </w:rPr>
        <w:t xml:space="preserve"> Bashkimit Evropian, student</w:t>
      </w:r>
      <w:r>
        <w:rPr>
          <w:rFonts w:ascii="Bookman Old Style" w:hAnsi="Bookman Old Style"/>
        </w:rPr>
        <w:t>ë</w:t>
      </w:r>
      <w:r w:rsidRPr="00FF0194">
        <w:rPr>
          <w:rFonts w:ascii="Bookman Old Style" w:hAnsi="Bookman Old Style"/>
        </w:rPr>
        <w:t>t e vitit t</w:t>
      </w:r>
      <w:r>
        <w:rPr>
          <w:rFonts w:ascii="Bookman Old Style" w:hAnsi="Bookman Old Style"/>
        </w:rPr>
        <w:t>ë</w:t>
      </w:r>
      <w:r w:rsidRPr="00FF0194">
        <w:rPr>
          <w:rFonts w:ascii="Bookman Old Style" w:hAnsi="Bookman Old Style"/>
        </w:rPr>
        <w:t xml:space="preserve"> par</w:t>
      </w:r>
      <w:r>
        <w:rPr>
          <w:rFonts w:ascii="Bookman Old Style" w:hAnsi="Bookman Old Style"/>
        </w:rPr>
        <w:t>ë</w:t>
      </w:r>
      <w:r w:rsidRPr="00FF0194">
        <w:rPr>
          <w:rFonts w:ascii="Bookman Old Style" w:hAnsi="Bookman Old Style"/>
        </w:rPr>
        <w:t xml:space="preserve"> zhvilluan nj</w:t>
      </w:r>
      <w:r>
        <w:rPr>
          <w:rFonts w:ascii="Bookman Old Style" w:hAnsi="Bookman Old Style"/>
        </w:rPr>
        <w:t>ë</w:t>
      </w:r>
      <w:r w:rsidRPr="00FF0194">
        <w:rPr>
          <w:rFonts w:ascii="Bookman Old Style" w:hAnsi="Bookman Old Style"/>
        </w:rPr>
        <w:t xml:space="preserve"> vizit</w:t>
      </w:r>
      <w:r>
        <w:rPr>
          <w:rFonts w:ascii="Bookman Old Style" w:hAnsi="Bookman Old Style"/>
        </w:rPr>
        <w:t>ë</w:t>
      </w:r>
      <w:r w:rsidRPr="00FF0194">
        <w:rPr>
          <w:rFonts w:ascii="Bookman Old Style" w:hAnsi="Bookman Old Style"/>
        </w:rPr>
        <w:t xml:space="preserve"> studimore n</w:t>
      </w:r>
      <w:r>
        <w:rPr>
          <w:rFonts w:ascii="Bookman Old Style" w:hAnsi="Bookman Old Style"/>
        </w:rPr>
        <w:t>ëParlamentin E</w:t>
      </w:r>
      <w:r w:rsidRPr="00FF0194">
        <w:rPr>
          <w:rFonts w:ascii="Bookman Old Style" w:hAnsi="Bookman Old Style"/>
        </w:rPr>
        <w:t>vropian dhe Gjykat</w:t>
      </w:r>
      <w:r>
        <w:rPr>
          <w:rFonts w:ascii="Bookman Old Style" w:hAnsi="Bookman Old Style"/>
        </w:rPr>
        <w:t>ë</w:t>
      </w:r>
      <w:r w:rsidRPr="00FF0194">
        <w:rPr>
          <w:rFonts w:ascii="Bookman Old Style" w:hAnsi="Bookman Old Style"/>
        </w:rPr>
        <w:t>n Evropiane t</w:t>
      </w:r>
      <w:r>
        <w:rPr>
          <w:rFonts w:ascii="Bookman Old Style" w:hAnsi="Bookman Old Style"/>
        </w:rPr>
        <w:t>ë</w:t>
      </w:r>
      <w:r w:rsidRPr="00FF0194">
        <w:rPr>
          <w:rFonts w:ascii="Bookman Old Style" w:hAnsi="Bookman Old Style"/>
        </w:rPr>
        <w:t xml:space="preserve"> t</w:t>
      </w:r>
      <w:r>
        <w:rPr>
          <w:rFonts w:ascii="Bookman Old Style" w:hAnsi="Bookman Old Style"/>
        </w:rPr>
        <w:t>ë</w:t>
      </w:r>
      <w:r w:rsidRPr="00FF0194">
        <w:rPr>
          <w:rFonts w:ascii="Bookman Old Style" w:hAnsi="Bookman Old Style"/>
        </w:rPr>
        <w:t xml:space="preserve"> Drejtave t</w:t>
      </w:r>
      <w:r>
        <w:rPr>
          <w:rFonts w:ascii="Bookman Old Style" w:hAnsi="Bookman Old Style"/>
        </w:rPr>
        <w:t>ë</w:t>
      </w:r>
      <w:r w:rsidRPr="00FF0194">
        <w:rPr>
          <w:rFonts w:ascii="Bookman Old Style" w:hAnsi="Bookman Old Style"/>
        </w:rPr>
        <w:t xml:space="preserve"> Njeriut.</w:t>
      </w:r>
    </w:p>
    <w:p w:rsidR="00C901AB" w:rsidRDefault="00C901AB" w:rsidP="00C901AB">
      <w:pPr>
        <w:jc w:val="both"/>
        <w:rPr>
          <w:rFonts w:ascii="Bookman Old Style" w:hAnsi="Bookman Old Style"/>
        </w:rPr>
      </w:pPr>
      <w:r>
        <w:rPr>
          <w:rFonts w:ascii="Bookman Old Style" w:hAnsi="Bookman Old Style"/>
        </w:rPr>
        <w:t xml:space="preserve">Studentët u shoqëruan nga Kryetari i Këshillit Drejtues të Shkollës dhe Kryetar i Gjykatës së Lartë, Prof. Xhezair Zaganjori. </w:t>
      </w:r>
    </w:p>
    <w:p w:rsidR="00C901AB" w:rsidRPr="00847D04" w:rsidRDefault="00C901AB" w:rsidP="00C901AB">
      <w:pPr>
        <w:jc w:val="both"/>
        <w:rPr>
          <w:rFonts w:ascii="Bookman Old Style" w:hAnsi="Bookman Old Style"/>
        </w:rPr>
      </w:pPr>
      <w:r w:rsidRPr="00847D04">
        <w:rPr>
          <w:rFonts w:ascii="Bookman Old Style" w:hAnsi="Bookman Old Style"/>
        </w:rPr>
        <w:t xml:space="preserve">Ditën e parë </w:t>
      </w:r>
      <w:r>
        <w:rPr>
          <w:rFonts w:ascii="Bookman Old Style" w:hAnsi="Bookman Old Style"/>
        </w:rPr>
        <w:t xml:space="preserve">të vizitës u </w:t>
      </w:r>
      <w:r w:rsidRPr="00847D04">
        <w:rPr>
          <w:rFonts w:ascii="Bookman Old Style" w:hAnsi="Bookman Old Style"/>
        </w:rPr>
        <w:t xml:space="preserve">vizitua Parlamentin Europian, duke u njohur më afër  me organizimin e brendshëm. Vizituam sallën ku zhvillohen seancat plenare. Zhvilluam një takim me drejtues të zyrave ku u shpjegua për mënyrën e funksionimit të Parlamentit. </w:t>
      </w:r>
    </w:p>
    <w:p w:rsidR="00C901AB" w:rsidRPr="00847D04" w:rsidRDefault="00C901AB" w:rsidP="00C901AB">
      <w:pPr>
        <w:jc w:val="both"/>
        <w:rPr>
          <w:rFonts w:ascii="Bookman Old Style" w:hAnsi="Bookman Old Style"/>
        </w:rPr>
      </w:pPr>
      <w:r w:rsidRPr="00847D04">
        <w:rPr>
          <w:rFonts w:ascii="Bookman Old Style" w:hAnsi="Bookman Old Style"/>
        </w:rPr>
        <w:lastRenderedPageBreak/>
        <w:t xml:space="preserve">Ditën e dytë vizituam Gjykatën Europiane të të Drejtave të Njeriut, u njohëm më nga afër me biblotekën dhe shumllojshmërinë e titujve. Më pas zhvilluam një takim me përgjegjësit e </w:t>
      </w:r>
      <w:r>
        <w:rPr>
          <w:rFonts w:ascii="Bookman Old Style" w:hAnsi="Bookman Old Style"/>
        </w:rPr>
        <w:t>faqes së Internetit</w:t>
      </w:r>
      <w:r w:rsidRPr="00847D04">
        <w:rPr>
          <w:rFonts w:ascii="Bookman Old Style" w:hAnsi="Bookman Old Style"/>
        </w:rPr>
        <w:t xml:space="preserve"> të kësaj gjykate, të cilët na shpjeguan se si mund t’a aksesojmë faqen e kësaj gjykate në mënyrën më të thjeshtë. Më tej zhvilluam një takim me gjyqtarin e Shqipërisë në këtë gjykatë Z. Ledi Bjanku, si dhe me gjyqtarin e Islandës</w:t>
      </w:r>
      <w:r>
        <w:rPr>
          <w:rFonts w:ascii="Bookman Old Style" w:hAnsi="Bookman Old Style"/>
        </w:rPr>
        <w:t>,</w:t>
      </w:r>
      <w:r w:rsidRPr="00847D04">
        <w:rPr>
          <w:rFonts w:ascii="Bookman Old Style" w:hAnsi="Bookman Old Style"/>
        </w:rPr>
        <w:t xml:space="preserve"> të cilët na informuan për cështjet qe vijnë në këtë gjykatë, natyr</w:t>
      </w:r>
      <w:r>
        <w:rPr>
          <w:rFonts w:ascii="Bookman Old Style" w:hAnsi="Bookman Old Style"/>
        </w:rPr>
        <w:t>ë</w:t>
      </w:r>
      <w:r w:rsidRPr="00847D04">
        <w:rPr>
          <w:rFonts w:ascii="Bookman Old Style" w:hAnsi="Bookman Old Style"/>
        </w:rPr>
        <w:t xml:space="preserve">n e tyre etj. </w:t>
      </w:r>
    </w:p>
    <w:p w:rsidR="00C901AB" w:rsidRPr="00FF0194" w:rsidRDefault="00C901AB" w:rsidP="00C901AB">
      <w:pPr>
        <w:jc w:val="center"/>
        <w:rPr>
          <w:rFonts w:ascii="Bookman Old Style" w:hAnsi="Bookman Old Style"/>
        </w:rPr>
      </w:pPr>
      <w:r>
        <w:rPr>
          <w:rFonts w:ascii="Bookman Old Style" w:hAnsi="Bookman Old Style"/>
          <w:noProof/>
          <w:lang w:val="en-GB" w:eastAsia="en-GB"/>
        </w:rPr>
        <w:drawing>
          <wp:inline distT="0" distB="0" distL="0" distR="0">
            <wp:extent cx="4705350" cy="3190875"/>
            <wp:effectExtent l="19050" t="0" r="0" b="0"/>
            <wp:docPr id="189" name="Picture 4" descr="C:\Users\Dori\Desktop\raporti\stude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ri\Desktop\raporti\studentet.JPG"/>
                    <pic:cNvPicPr>
                      <a:picLocks noChangeAspect="1" noChangeArrowheads="1"/>
                    </pic:cNvPicPr>
                  </pic:nvPicPr>
                  <pic:blipFill>
                    <a:blip r:embed="rId48"/>
                    <a:srcRect/>
                    <a:stretch>
                      <a:fillRect/>
                    </a:stretch>
                  </pic:blipFill>
                  <pic:spPr bwMode="auto">
                    <a:xfrm>
                      <a:off x="0" y="0"/>
                      <a:ext cx="4705350" cy="3190875"/>
                    </a:xfrm>
                    <a:prstGeom prst="rect">
                      <a:avLst/>
                    </a:prstGeom>
                    <a:noFill/>
                    <a:ln w="9525">
                      <a:noFill/>
                      <a:miter lim="800000"/>
                      <a:headEnd/>
                      <a:tailEnd/>
                    </a:ln>
                  </pic:spPr>
                </pic:pic>
              </a:graphicData>
            </a:graphic>
          </wp:inline>
        </w:drawing>
      </w:r>
    </w:p>
    <w:p w:rsidR="00C901AB" w:rsidRPr="002B08B7" w:rsidRDefault="00C901AB" w:rsidP="003C4BF1">
      <w:pPr>
        <w:pStyle w:val="ListParagraph"/>
        <w:numPr>
          <w:ilvl w:val="0"/>
          <w:numId w:val="16"/>
        </w:numPr>
        <w:jc w:val="both"/>
        <w:rPr>
          <w:rFonts w:ascii="Bookman Old Style" w:hAnsi="Bookman Old Style"/>
          <w:b/>
          <w:bCs/>
          <w:color w:val="372971" w:themeColor="accent5" w:themeShade="80"/>
          <w:sz w:val="24"/>
          <w:szCs w:val="24"/>
        </w:rPr>
      </w:pPr>
      <w:r w:rsidRPr="002B08B7">
        <w:rPr>
          <w:rFonts w:ascii="Bookman Old Style" w:hAnsi="Bookman Old Style"/>
          <w:b/>
          <w:bCs/>
          <w:color w:val="372971" w:themeColor="accent5" w:themeShade="80"/>
          <w:sz w:val="24"/>
          <w:szCs w:val="24"/>
        </w:rPr>
        <w:t>TAKIMI LANÇUES “RRJETI I INSTITUCIONEVE TË TRAJNIMIT GJYQËSOR”, 13-14 PRILL 2016</w:t>
      </w:r>
    </w:p>
    <w:p w:rsidR="00C901AB" w:rsidRDefault="00C901AB" w:rsidP="00C901AB">
      <w:pPr>
        <w:jc w:val="both"/>
        <w:rPr>
          <w:rFonts w:ascii="Bookman Old Style" w:hAnsi="Bookman Old Style"/>
        </w:rPr>
      </w:pPr>
      <w:r>
        <w:rPr>
          <w:rFonts w:ascii="Bookman Old Style" w:hAnsi="Bookman Old Style"/>
        </w:rPr>
        <w:t xml:space="preserve">Në datat 13-14 Prill 2016 u organizua takimi lancues i Rrjetit të Bashkëpunimit Rajonal me titull “SEE Network of Judicial Training Institutions”. Takimi u zhvillua në Bukuresht, Rumani në bashkëpunim me GiZ-në – Reforma Ligjore dhe Instituti Kombëtar i Magjistraturës së Rumanisë. </w:t>
      </w:r>
    </w:p>
    <w:p w:rsidR="00C901AB" w:rsidRDefault="00C901AB" w:rsidP="00C901AB">
      <w:pPr>
        <w:jc w:val="both"/>
        <w:rPr>
          <w:rFonts w:ascii="Bookman Old Style" w:hAnsi="Bookman Old Style"/>
        </w:rPr>
      </w:pPr>
      <w:r>
        <w:rPr>
          <w:rFonts w:ascii="Bookman Old Style" w:hAnsi="Bookman Old Style"/>
        </w:rPr>
        <w:t xml:space="preserve">Ky rrjet që u lancua do të shërbejë si një platform për shkëmbimin e përvojës dhe mbështetjen e trajnimeve gjyqësore rajonale. Aktiviteti do të jetë një mundësi për të diskutuar punën në të ardhmen për këtë rrjet. Bashkëpunimi rajonal në fushën e trajnimit gjyqësor do të përmirësojë eficencën dhe kopetencën e gjyqtarëve dhe prokurorëve dhe do të mbështesë reformat gjyqësore si një nga kërkesat për arritjen e standardeve të larta të BE-së në fushën e drejtësisë. Në takim u prezantua dhe raporti i praktikave më të mira për trajnimin e gjyqtarëve dhe prokurorëve në Shtetet Anëtare të BE-së dhe Institucionet e Trajnimit Gjyqësor Evropian. </w:t>
      </w:r>
    </w:p>
    <w:p w:rsidR="00C901AB" w:rsidRPr="00BE03F6" w:rsidRDefault="00C901AB" w:rsidP="00C901AB">
      <w:pPr>
        <w:jc w:val="both"/>
        <w:rPr>
          <w:rFonts w:ascii="Bookman Old Style" w:hAnsi="Bookman Old Style"/>
        </w:rPr>
      </w:pPr>
      <w:r>
        <w:rPr>
          <w:rFonts w:ascii="Bookman Old Style" w:hAnsi="Bookman Old Style"/>
        </w:rPr>
        <w:t>Shkolla e Magjistraturës u përfaqësua në këtë aktivitet nga Drejtori i Shkollës, Z. Sokol Sadushi, Pedagogu i Brendshëm, Z. Vangjel Kosta dhe Përgjegjësi i Formimit Profesional, Ador Koleka.</w:t>
      </w:r>
    </w:p>
    <w:p w:rsidR="00C901AB" w:rsidRDefault="00C901AB" w:rsidP="00C901AB">
      <w:pPr>
        <w:jc w:val="both"/>
        <w:rPr>
          <w:rFonts w:ascii="Bookman Old Style" w:hAnsi="Bookman Old Style"/>
        </w:rPr>
      </w:pPr>
    </w:p>
    <w:p w:rsidR="00C901AB" w:rsidRPr="002B08B7" w:rsidRDefault="00C901AB" w:rsidP="003C4BF1">
      <w:pPr>
        <w:pStyle w:val="ListParagraph"/>
        <w:numPr>
          <w:ilvl w:val="0"/>
          <w:numId w:val="16"/>
        </w:numPr>
        <w:jc w:val="both"/>
        <w:rPr>
          <w:rFonts w:ascii="Bookman Old Style" w:hAnsi="Bookman Old Style"/>
          <w:b/>
          <w:bCs/>
          <w:color w:val="372971" w:themeColor="accent5" w:themeShade="80"/>
          <w:sz w:val="24"/>
          <w:szCs w:val="24"/>
        </w:rPr>
      </w:pPr>
      <w:r w:rsidRPr="002B08B7">
        <w:rPr>
          <w:rFonts w:ascii="Bookman Old Style" w:hAnsi="Bookman Old Style"/>
          <w:b/>
          <w:bCs/>
          <w:color w:val="372971" w:themeColor="accent5" w:themeShade="80"/>
          <w:sz w:val="24"/>
          <w:szCs w:val="24"/>
        </w:rPr>
        <w:t>RRJETI EVROPIAN I TRAJNIMIT GJYQËSOR, 9-10 QERSHOR 2016</w:t>
      </w:r>
    </w:p>
    <w:p w:rsidR="00C901AB" w:rsidRDefault="00C901AB" w:rsidP="00C901AB">
      <w:pPr>
        <w:pStyle w:val="NoSpacing"/>
        <w:jc w:val="both"/>
        <w:rPr>
          <w:rFonts w:ascii="Bookman Old Style" w:hAnsi="Bookman Old Style"/>
          <w:sz w:val="22"/>
          <w:szCs w:val="22"/>
        </w:rPr>
      </w:pPr>
      <w:r>
        <w:rPr>
          <w:rFonts w:ascii="Bookman Old Style" w:hAnsi="Bookman Old Style"/>
          <w:sz w:val="22"/>
          <w:szCs w:val="22"/>
        </w:rPr>
        <w:t xml:space="preserve">Në bashkëpunim me Qendrën e Trajnimit Gjyqësor të Hollandës, Rrjeti Evropian i Trajnimit Gjyqësor organizoi në datat 9-10 Qershor 2016 </w:t>
      </w:r>
      <w:r w:rsidRPr="00364F08">
        <w:rPr>
          <w:rFonts w:ascii="Bookman Old Style" w:hAnsi="Bookman Old Style"/>
          <w:sz w:val="22"/>
          <w:szCs w:val="22"/>
        </w:rPr>
        <w:t xml:space="preserve">Asamblenë e Përgjithshme të 19-të të Rrjetit Evropian të Trajnimit Gjyqësor </w:t>
      </w:r>
      <w:r>
        <w:rPr>
          <w:rFonts w:ascii="Bookman Old Style" w:hAnsi="Bookman Old Style"/>
          <w:sz w:val="22"/>
          <w:szCs w:val="22"/>
        </w:rPr>
        <w:t>që u</w:t>
      </w:r>
      <w:r w:rsidRPr="00364F08">
        <w:rPr>
          <w:rFonts w:ascii="Bookman Old Style" w:hAnsi="Bookman Old Style"/>
          <w:sz w:val="22"/>
          <w:szCs w:val="22"/>
        </w:rPr>
        <w:t xml:space="preserve"> zhvillua në Amsterdam, Hollandë</w:t>
      </w:r>
      <w:r>
        <w:rPr>
          <w:rFonts w:ascii="Bookman Old Style" w:hAnsi="Bookman Old Style"/>
          <w:sz w:val="22"/>
          <w:szCs w:val="22"/>
        </w:rPr>
        <w:t xml:space="preserve">. </w:t>
      </w:r>
    </w:p>
    <w:p w:rsidR="00C901AB" w:rsidRPr="00364F08" w:rsidRDefault="00C901AB" w:rsidP="00C901AB">
      <w:pPr>
        <w:pStyle w:val="NoSpacing"/>
        <w:jc w:val="both"/>
        <w:rPr>
          <w:rFonts w:ascii="Bookman Old Style" w:hAnsi="Bookman Old Style"/>
          <w:sz w:val="22"/>
          <w:szCs w:val="22"/>
        </w:rPr>
      </w:pPr>
    </w:p>
    <w:p w:rsidR="00C901AB" w:rsidRDefault="00C901AB" w:rsidP="00C901AB">
      <w:pPr>
        <w:pStyle w:val="NoSpacing"/>
        <w:jc w:val="both"/>
        <w:rPr>
          <w:rFonts w:ascii="Bookman Old Style" w:hAnsi="Bookman Old Style"/>
          <w:sz w:val="22"/>
          <w:szCs w:val="22"/>
        </w:rPr>
      </w:pPr>
      <w:r w:rsidRPr="00364F08">
        <w:rPr>
          <w:rFonts w:ascii="Bookman Old Style" w:hAnsi="Bookman Old Style"/>
          <w:sz w:val="22"/>
          <w:szCs w:val="22"/>
        </w:rPr>
        <w:t xml:space="preserve">Shkolla e Magjistraturës së Shqipërisë </w:t>
      </w:r>
      <w:r>
        <w:rPr>
          <w:rFonts w:ascii="Bookman Old Style" w:hAnsi="Bookman Old Style"/>
          <w:sz w:val="22"/>
          <w:szCs w:val="22"/>
        </w:rPr>
        <w:t>mori ftesë për pjesëmarrje me rastin e dorëzimit</w:t>
      </w:r>
      <w:r w:rsidRPr="00364F08">
        <w:rPr>
          <w:rFonts w:ascii="Bookman Old Style" w:hAnsi="Bookman Old Style"/>
          <w:sz w:val="22"/>
          <w:szCs w:val="22"/>
        </w:rPr>
        <w:t xml:space="preserve">, në 20 Nëntor 2015, </w:t>
      </w:r>
      <w:r>
        <w:rPr>
          <w:rFonts w:ascii="Bookman Old Style" w:hAnsi="Bookman Old Style"/>
          <w:sz w:val="22"/>
          <w:szCs w:val="22"/>
        </w:rPr>
        <w:t xml:space="preserve">të </w:t>
      </w:r>
      <w:r w:rsidRPr="00364F08">
        <w:rPr>
          <w:rFonts w:ascii="Bookman Old Style" w:hAnsi="Bookman Old Style"/>
          <w:sz w:val="22"/>
          <w:szCs w:val="22"/>
        </w:rPr>
        <w:t>aplikimi</w:t>
      </w:r>
      <w:r>
        <w:rPr>
          <w:rFonts w:ascii="Bookman Old Style" w:hAnsi="Bookman Old Style"/>
          <w:sz w:val="22"/>
          <w:szCs w:val="22"/>
        </w:rPr>
        <w:t>ttë</w:t>
      </w:r>
      <w:r w:rsidRPr="00364F08">
        <w:rPr>
          <w:rFonts w:ascii="Bookman Old Style" w:hAnsi="Bookman Old Style"/>
          <w:sz w:val="22"/>
          <w:szCs w:val="22"/>
        </w:rPr>
        <w:t xml:space="preserve"> saj për tu bërë vëzhguese e RRETGJ. </w:t>
      </w:r>
      <w:r>
        <w:rPr>
          <w:rFonts w:ascii="Bookman Old Style" w:hAnsi="Bookman Old Style"/>
          <w:sz w:val="22"/>
          <w:szCs w:val="22"/>
        </w:rPr>
        <w:t xml:space="preserve">Gjatë zhvillimit të punimeve të asamblesë, u prezantua raporti vjetor i punës së rrjetit gjyqësor si dhe u miratuan amendamentet për Rregullat e Procedurës së Rrjetit. </w:t>
      </w:r>
    </w:p>
    <w:p w:rsidR="00C901AB" w:rsidRDefault="00C901AB" w:rsidP="00C901AB">
      <w:pPr>
        <w:pStyle w:val="NoSpacing"/>
        <w:jc w:val="both"/>
        <w:rPr>
          <w:rFonts w:ascii="Bookman Old Style" w:hAnsi="Bookman Old Style"/>
          <w:sz w:val="22"/>
          <w:szCs w:val="22"/>
        </w:rPr>
      </w:pPr>
    </w:p>
    <w:p w:rsidR="00C901AB" w:rsidRDefault="00C901AB" w:rsidP="00C901AB">
      <w:pPr>
        <w:pStyle w:val="NoSpacing"/>
        <w:jc w:val="both"/>
        <w:rPr>
          <w:rFonts w:ascii="Bookman Old Style" w:hAnsi="Bookman Old Style"/>
          <w:sz w:val="22"/>
          <w:szCs w:val="22"/>
        </w:rPr>
      </w:pPr>
      <w:r>
        <w:rPr>
          <w:rFonts w:ascii="Bookman Old Style" w:hAnsi="Bookman Old Style"/>
          <w:sz w:val="22"/>
          <w:szCs w:val="22"/>
        </w:rPr>
        <w:t>Gjatë takimit u realizua p</w:t>
      </w:r>
      <w:r w:rsidRPr="00364F08">
        <w:rPr>
          <w:rFonts w:ascii="Bookman Old Style" w:hAnsi="Bookman Old Style"/>
          <w:sz w:val="22"/>
          <w:szCs w:val="22"/>
        </w:rPr>
        <w:t>rezant</w:t>
      </w:r>
      <w:r>
        <w:rPr>
          <w:rFonts w:ascii="Bookman Old Style" w:hAnsi="Bookman Old Style"/>
          <w:sz w:val="22"/>
          <w:szCs w:val="22"/>
        </w:rPr>
        <w:t>imii</w:t>
      </w:r>
      <w:r w:rsidRPr="00364F08">
        <w:rPr>
          <w:rFonts w:ascii="Bookman Old Style" w:hAnsi="Bookman Old Style"/>
          <w:sz w:val="22"/>
          <w:szCs w:val="22"/>
        </w:rPr>
        <w:t xml:space="preserve"> aplikimi</w:t>
      </w:r>
      <w:r>
        <w:rPr>
          <w:rFonts w:ascii="Bookman Old Style" w:hAnsi="Bookman Old Style"/>
          <w:sz w:val="22"/>
          <w:szCs w:val="22"/>
        </w:rPr>
        <w:t xml:space="preserve">ttë Shkollës së Magjistraturës për të </w:t>
      </w:r>
      <w:r w:rsidRPr="00364F08">
        <w:rPr>
          <w:rFonts w:ascii="Bookman Old Style" w:hAnsi="Bookman Old Style"/>
          <w:sz w:val="22"/>
          <w:szCs w:val="22"/>
        </w:rPr>
        <w:t>gjithë anëtarët e RRETGJ-së</w:t>
      </w:r>
      <w:r>
        <w:rPr>
          <w:rFonts w:ascii="Bookman Old Style" w:hAnsi="Bookman Old Style"/>
          <w:sz w:val="22"/>
          <w:szCs w:val="22"/>
        </w:rPr>
        <w:t xml:space="preserve">, si dhe u votua nga anëtarët e rrjetit për dhënien e statusit të vendit vëzhgues Shkollës së Magjistraturës së Republikës së Shqipërisë. </w:t>
      </w:r>
    </w:p>
    <w:p w:rsidR="00C901AB" w:rsidRDefault="00C901AB" w:rsidP="00C901AB">
      <w:pPr>
        <w:pStyle w:val="NoSpacing"/>
        <w:jc w:val="both"/>
        <w:rPr>
          <w:rFonts w:ascii="Bookman Old Style" w:hAnsi="Bookman Old Style"/>
          <w:sz w:val="22"/>
          <w:szCs w:val="22"/>
        </w:rPr>
      </w:pPr>
    </w:p>
    <w:p w:rsidR="00C901AB" w:rsidRDefault="00C901AB" w:rsidP="00C901AB">
      <w:pPr>
        <w:pStyle w:val="NoSpacing"/>
        <w:jc w:val="both"/>
        <w:rPr>
          <w:rFonts w:ascii="Bookman Old Style" w:hAnsi="Bookman Old Style"/>
          <w:sz w:val="22"/>
          <w:szCs w:val="22"/>
        </w:rPr>
      </w:pPr>
      <w:r>
        <w:rPr>
          <w:rFonts w:ascii="Bookman Old Style" w:hAnsi="Bookman Old Style"/>
          <w:sz w:val="22"/>
          <w:szCs w:val="22"/>
        </w:rPr>
        <w:t>Takimi i mbyll me punën në grupe të ndryshme për aktivitete trajnuese në fusha si shkëmbimi i programeve, metodat e trajnimit gjyqësor, dhe fushat penale, civile, gjuhësore dhe administrative.</w:t>
      </w:r>
    </w:p>
    <w:p w:rsidR="00C901AB" w:rsidRDefault="00C901AB" w:rsidP="00C901AB">
      <w:pPr>
        <w:pStyle w:val="NoSpacing"/>
        <w:jc w:val="both"/>
        <w:rPr>
          <w:rFonts w:ascii="Bookman Old Style" w:hAnsi="Bookman Old Style"/>
          <w:sz w:val="22"/>
          <w:szCs w:val="22"/>
        </w:rPr>
      </w:pPr>
    </w:p>
    <w:p w:rsidR="00C901AB" w:rsidRDefault="00C901AB" w:rsidP="00C901AB">
      <w:pPr>
        <w:jc w:val="center"/>
      </w:pPr>
      <w:r>
        <w:rPr>
          <w:noProof/>
          <w:lang w:val="en-GB" w:eastAsia="en-GB"/>
        </w:rPr>
        <w:drawing>
          <wp:inline distT="0" distB="0" distL="0" distR="0">
            <wp:extent cx="5724525" cy="3733800"/>
            <wp:effectExtent l="19050" t="0" r="9525" b="0"/>
            <wp:docPr id="190" name="Picture 5" descr="C:\Users\Dori\Desktop\raporti\ej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ri\Desktop\raporti\ejtn.JPG"/>
                    <pic:cNvPicPr>
                      <a:picLocks noChangeAspect="1" noChangeArrowheads="1"/>
                    </pic:cNvPicPr>
                  </pic:nvPicPr>
                  <pic:blipFill>
                    <a:blip r:embed="rId49"/>
                    <a:srcRect t="11325" r="3686" b="4915"/>
                    <a:stretch>
                      <a:fillRect/>
                    </a:stretch>
                  </pic:blipFill>
                  <pic:spPr bwMode="auto">
                    <a:xfrm>
                      <a:off x="0" y="0"/>
                      <a:ext cx="5724525" cy="3733800"/>
                    </a:xfrm>
                    <a:prstGeom prst="rect">
                      <a:avLst/>
                    </a:prstGeom>
                    <a:noFill/>
                    <a:ln w="9525">
                      <a:noFill/>
                      <a:miter lim="800000"/>
                      <a:headEnd/>
                      <a:tailEnd/>
                    </a:ln>
                  </pic:spPr>
                </pic:pic>
              </a:graphicData>
            </a:graphic>
          </wp:inline>
        </w:drawing>
      </w:r>
    </w:p>
    <w:p w:rsidR="00D754B9" w:rsidRDefault="00D754B9" w:rsidP="002E4C6C">
      <w:pPr>
        <w:rPr>
          <w:rFonts w:ascii="Times New Roman" w:hAnsi="Times New Roman" w:cs="Times New Roman"/>
          <w:sz w:val="24"/>
          <w:szCs w:val="24"/>
        </w:rPr>
      </w:pPr>
    </w:p>
    <w:p w:rsidR="00D754B9" w:rsidRDefault="00D754B9" w:rsidP="002E4C6C">
      <w:pPr>
        <w:rPr>
          <w:rFonts w:ascii="Times New Roman" w:hAnsi="Times New Roman" w:cs="Times New Roman"/>
          <w:sz w:val="24"/>
          <w:szCs w:val="24"/>
        </w:rPr>
      </w:pPr>
    </w:p>
    <w:p w:rsidR="00D754B9" w:rsidRDefault="00D754B9" w:rsidP="002E4C6C">
      <w:pPr>
        <w:rPr>
          <w:rFonts w:ascii="Times New Roman" w:hAnsi="Times New Roman" w:cs="Times New Roman"/>
          <w:sz w:val="24"/>
          <w:szCs w:val="24"/>
        </w:rPr>
      </w:pPr>
    </w:p>
    <w:p w:rsidR="00466D1F" w:rsidRPr="00466D1F" w:rsidRDefault="00466D1F" w:rsidP="00466D1F">
      <w:pPr>
        <w:rPr>
          <w:rFonts w:ascii="Bookman Old Style" w:hAnsi="Bookman Old Style"/>
          <w:b/>
          <w:color w:val="533466" w:themeColor="accent6" w:themeShade="80"/>
          <w:sz w:val="32"/>
          <w:szCs w:val="32"/>
          <w:u w:color="333399"/>
        </w:rPr>
      </w:pPr>
      <w:r w:rsidRPr="00466D1F">
        <w:rPr>
          <w:rFonts w:ascii="Bookman Old Style" w:hAnsi="Bookman Old Style"/>
          <w:b/>
          <w:color w:val="533466" w:themeColor="accent6" w:themeShade="80"/>
          <w:sz w:val="32"/>
          <w:szCs w:val="32"/>
          <w:u w:color="333399"/>
        </w:rPr>
        <w:lastRenderedPageBreak/>
        <w:t>7.PERSPEKTIVA DHE VIZIONI PËR TË ARDHMEN</w:t>
      </w:r>
    </w:p>
    <w:p w:rsidR="00466D1F" w:rsidRPr="00466D1F" w:rsidRDefault="00466D1F" w:rsidP="008633F3">
      <w:pPr>
        <w:ind w:left="142" w:hanging="142"/>
        <w:jc w:val="both"/>
        <w:rPr>
          <w:rFonts w:ascii="Bookman Old Style" w:hAnsi="Bookman Old Style"/>
          <w:b/>
          <w:bCs/>
          <w:color w:val="372971" w:themeColor="accent5" w:themeShade="80"/>
          <w:sz w:val="24"/>
          <w:szCs w:val="24"/>
        </w:rPr>
      </w:pPr>
      <w:r w:rsidRPr="00466D1F">
        <w:rPr>
          <w:rFonts w:ascii="Bookman Old Style" w:hAnsi="Bookman Old Style"/>
          <w:b/>
          <w:bCs/>
          <w:color w:val="372971" w:themeColor="accent5" w:themeShade="80"/>
          <w:sz w:val="24"/>
          <w:szCs w:val="24"/>
        </w:rPr>
        <w:t xml:space="preserve">Rekomandime dhe pritshmëri për t’u realizuar për periudhën 2016-2017 </w:t>
      </w:r>
    </w:p>
    <w:p w:rsidR="00466D1F" w:rsidRPr="00466D1F" w:rsidRDefault="00466D1F" w:rsidP="00466D1F">
      <w:pPr>
        <w:jc w:val="both"/>
        <w:rPr>
          <w:rFonts w:ascii="Bookman Old Style" w:hAnsi="Bookman Old Style"/>
          <w:b/>
          <w:bCs/>
          <w:color w:val="372971" w:themeColor="accent5" w:themeShade="80"/>
          <w:sz w:val="24"/>
          <w:szCs w:val="24"/>
        </w:rPr>
      </w:pPr>
      <w:r w:rsidRPr="00466D1F">
        <w:rPr>
          <w:rFonts w:ascii="Bookman Old Style" w:hAnsi="Bookman Old Style"/>
          <w:b/>
          <w:bCs/>
          <w:color w:val="372971" w:themeColor="accent5" w:themeShade="80"/>
          <w:sz w:val="24"/>
          <w:szCs w:val="24"/>
        </w:rPr>
        <w:t xml:space="preserve">7.1 Trajnimi Fillestar </w:t>
      </w:r>
    </w:p>
    <w:p w:rsidR="00466D1F" w:rsidRPr="00D87341" w:rsidRDefault="00466D1F" w:rsidP="00466D1F">
      <w:pPr>
        <w:widowControl w:val="0"/>
        <w:spacing w:after="0" w:line="240" w:lineRule="auto"/>
        <w:jc w:val="both"/>
        <w:rPr>
          <w:rFonts w:ascii="Bookman Old Style" w:eastAsia="Times New Roman" w:hAnsi="Bookman Old Style" w:cs="Times New Roman"/>
          <w:noProof/>
          <w:color w:val="000000"/>
          <w:lang w:eastAsia="de-DE"/>
        </w:rPr>
      </w:pPr>
      <w:r w:rsidRPr="00D87341">
        <w:rPr>
          <w:rFonts w:ascii="Bookman Old Style" w:eastAsia="Times New Roman" w:hAnsi="Bookman Old Style" w:cs="Times New Roman"/>
          <w:noProof/>
          <w:color w:val="000000"/>
          <w:lang w:eastAsia="de-DE"/>
        </w:rPr>
        <w:t xml:space="preserve">Reforma në Drejtësi ka filluar rrugëtimin e saj me ndryshimet kushtetuese dhe hartimin e ligjeve të reja për funksionimin dhe organizimin e veprimtarisë së organeve kryesore të drejtësisë në vend. Ligji i sapomiratuar “Për Organet e Qeverisjes së Sistemit të Drejtësisë në Republikën e Shqipërisë”, krahas organeve bazë të qeverisjes, ka vendosur edhe Shkollën e Magjistraturës, për shkak të funksionit që ajo kryen, por edhe të rolit thelbësor që ka në sistem.  </w:t>
      </w:r>
    </w:p>
    <w:p w:rsidR="00466D1F" w:rsidRPr="00D87341" w:rsidRDefault="00466D1F" w:rsidP="00466D1F">
      <w:pPr>
        <w:widowControl w:val="0"/>
        <w:spacing w:after="0" w:line="240" w:lineRule="auto"/>
        <w:jc w:val="both"/>
        <w:rPr>
          <w:rFonts w:ascii="Bookman Old Style" w:eastAsia="Times New Roman" w:hAnsi="Bookman Old Style" w:cs="Times New Roman"/>
          <w:noProof/>
          <w:color w:val="000000"/>
          <w:lang w:eastAsia="de-DE"/>
        </w:rPr>
      </w:pPr>
    </w:p>
    <w:p w:rsidR="00466D1F" w:rsidRPr="00D87341" w:rsidRDefault="00466D1F" w:rsidP="00466D1F">
      <w:pPr>
        <w:widowControl w:val="0"/>
        <w:spacing w:after="0" w:line="240" w:lineRule="auto"/>
        <w:jc w:val="both"/>
        <w:rPr>
          <w:rFonts w:ascii="Bookman Old Style" w:eastAsia="Times New Roman" w:hAnsi="Bookman Old Style" w:cs="Times New Roman"/>
          <w:noProof/>
          <w:color w:val="000000"/>
          <w:lang w:val="it-IT" w:eastAsia="de-DE"/>
        </w:rPr>
      </w:pPr>
      <w:r w:rsidRPr="00D87341">
        <w:rPr>
          <w:rFonts w:ascii="Bookman Old Style" w:eastAsia="Times New Roman" w:hAnsi="Bookman Old Style" w:cs="Times New Roman"/>
          <w:noProof/>
          <w:color w:val="000000"/>
          <w:lang w:eastAsia="de-DE"/>
        </w:rPr>
        <w:t xml:space="preserve">Shkolla e Magjistraturës e Republikës së Shqipërisë” që mision kryesor ka përgatitjen e gjyqtarëve e prokurorëve të rinj, por edhe </w:t>
      </w:r>
      <w:r w:rsidRPr="00D87341">
        <w:rPr>
          <w:rFonts w:ascii="Bookman Old Style" w:eastAsia="Times New Roman" w:hAnsi="Bookman Old Style" w:cs="Times New Roman"/>
          <w:noProof/>
          <w:color w:val="000000"/>
          <w:lang w:val="it-IT" w:eastAsia="de-DE"/>
        </w:rPr>
        <w:t xml:space="preserve">formimin vazhdues të magjistratëve në detyrë, është një ndër institucionet që do t’i duhet të përballet me sfidat e shumta që sjell zbatimi i Reformës në Drejtësi. Disa nga ligjet prioritare për zbatimin e reformës, si ligji “Për rivlerësimin kalimtar të gjyqtarëve dhe prokurorëve”, ligji “Për statusin e gjyqtarit e të prokurorit në Republikën e Shqipërisë”, ligji “Për organizimin gjyqësor në Republikën e Shqipërsië”, ligji “Për organizimin e Prokurorisë” etj, përcaktojnë detyra të reja për Shkollën, që ndikojnë për një transformim të ndjeshëm të veprimtarisë së saj. </w:t>
      </w:r>
    </w:p>
    <w:p w:rsidR="00466D1F" w:rsidRPr="00D87341" w:rsidRDefault="00466D1F" w:rsidP="00466D1F">
      <w:pPr>
        <w:spacing w:after="0" w:line="240" w:lineRule="auto"/>
        <w:jc w:val="both"/>
        <w:rPr>
          <w:rFonts w:ascii="Bookman Old Style" w:eastAsia="Times New Roman" w:hAnsi="Bookman Old Style" w:cs="Times New Roman"/>
          <w:noProof/>
          <w:color w:val="000000"/>
          <w:lang w:val="it-IT" w:eastAsia="de-DE"/>
        </w:rPr>
      </w:pPr>
      <w:r w:rsidRPr="00D87341">
        <w:rPr>
          <w:rFonts w:ascii="Bookman Old Style" w:eastAsia="Times New Roman" w:hAnsi="Bookman Old Style" w:cs="Times New Roman"/>
          <w:noProof/>
          <w:color w:val="000000"/>
          <w:lang w:val="it-IT" w:eastAsia="de-DE"/>
        </w:rPr>
        <w:t>Është mjaft thelbësor roli i Shkollës së Magjistraturës për përmbushjen e të gjithë detyrimeve që vijnë për shkak të efekteve ligjore që krijon ligji “Për rivlerësimin kalimtar të gjyqtarëve dhe prokurorëve” (veting), por edhe rritja e volumit të punës për të përballuar nevojat që ka sistemi i drejtësisë, si për trajnimin e magjistratëve, ashtu edhe të nëpunësve civil të administratës gjyqësore.</w:t>
      </w:r>
    </w:p>
    <w:p w:rsidR="00466D1F" w:rsidRDefault="00466D1F" w:rsidP="00466D1F">
      <w:pPr>
        <w:jc w:val="both"/>
        <w:rPr>
          <w:rFonts w:ascii="Bookman Old Style" w:hAnsi="Bookman Old Style" w:cs="Times New Roman"/>
          <w:b/>
          <w:lang w:val="en-GB"/>
        </w:rPr>
      </w:pPr>
    </w:p>
    <w:p w:rsidR="00466D1F" w:rsidRPr="00BE33BC" w:rsidRDefault="00466D1F" w:rsidP="00466D1F">
      <w:pPr>
        <w:jc w:val="both"/>
        <w:rPr>
          <w:rFonts w:ascii="Bookman Old Style" w:hAnsi="Bookman Old Style" w:cs="Times New Roman"/>
          <w:b/>
          <w:lang w:val="en-GB"/>
        </w:rPr>
      </w:pPr>
      <w:r w:rsidRPr="00BE33BC">
        <w:rPr>
          <w:rFonts w:ascii="Bookman Old Style" w:hAnsi="Bookman Old Style" w:cs="Times New Roman"/>
          <w:b/>
          <w:lang w:val="en-GB"/>
        </w:rPr>
        <w:t xml:space="preserve">Objektiva të realizimit të Trajnimit Fillestar </w:t>
      </w:r>
      <w:r>
        <w:rPr>
          <w:rFonts w:ascii="Bookman Old Style" w:hAnsi="Bookman Old Style" w:cs="Times New Roman"/>
          <w:b/>
          <w:lang w:val="en-GB"/>
        </w:rPr>
        <w:t>për vitin akademik në vijim 2016-2017</w:t>
      </w:r>
      <w:r w:rsidRPr="00BE33BC">
        <w:rPr>
          <w:rFonts w:ascii="Bookman Old Style" w:hAnsi="Bookman Old Style" w:cs="Times New Roman"/>
          <w:b/>
          <w:lang w:val="en-GB"/>
        </w:rPr>
        <w:t>.</w:t>
      </w:r>
    </w:p>
    <w:p w:rsidR="00466D1F" w:rsidRDefault="00466D1F" w:rsidP="003C4BF1">
      <w:pPr>
        <w:numPr>
          <w:ilvl w:val="0"/>
          <w:numId w:val="17"/>
        </w:numPr>
        <w:tabs>
          <w:tab w:val="left" w:pos="270"/>
        </w:tabs>
        <w:spacing w:line="240" w:lineRule="auto"/>
        <w:ind w:left="180" w:firstLine="90"/>
        <w:jc w:val="both"/>
        <w:rPr>
          <w:rFonts w:ascii="Bookman Old Style" w:hAnsi="Bookman Old Style" w:cs="Times New Roman"/>
          <w:bCs/>
          <w:lang w:val="it-IT"/>
        </w:rPr>
      </w:pPr>
      <w:r>
        <w:rPr>
          <w:rFonts w:ascii="Bookman Old Style" w:hAnsi="Bookman Old Style" w:cs="Times New Roman"/>
          <w:bCs/>
          <w:lang w:val="it-IT"/>
        </w:rPr>
        <w:t>Ruajtja</w:t>
      </w:r>
      <w:r w:rsidRPr="00BE33BC">
        <w:rPr>
          <w:rFonts w:ascii="Bookman Old Style" w:hAnsi="Bookman Old Style" w:cs="Times New Roman"/>
          <w:bCs/>
          <w:lang w:val="it-IT"/>
        </w:rPr>
        <w:t xml:space="preserve"> e qëndrueshmërisë institucionale të Shkollës së Magjistraturës, duke filluar nga proçesi i përzgjedhjes së magjistratëve dhe vlerësimit të tyre dhe në tërësi ruajtja e pavarësisë se Shkollës nga çdo pushtet apo ndikim që cënon apo zbeh pavarësinë dhe paanësinë e saj, deri tek reputacioni pozitiv i saj;</w:t>
      </w:r>
    </w:p>
    <w:p w:rsidR="00466D1F" w:rsidRDefault="00466D1F" w:rsidP="003C4BF1">
      <w:pPr>
        <w:numPr>
          <w:ilvl w:val="0"/>
          <w:numId w:val="17"/>
        </w:numPr>
        <w:tabs>
          <w:tab w:val="left" w:pos="270"/>
        </w:tabs>
        <w:spacing w:line="240" w:lineRule="auto"/>
        <w:ind w:left="180" w:firstLine="90"/>
        <w:jc w:val="both"/>
        <w:rPr>
          <w:rFonts w:ascii="Bookman Old Style" w:hAnsi="Bookman Old Style" w:cs="Times New Roman"/>
          <w:bCs/>
          <w:lang w:val="it-IT"/>
        </w:rPr>
      </w:pPr>
      <w:r w:rsidRPr="00EF39F1">
        <w:rPr>
          <w:rFonts w:ascii="Bookman Old Style" w:eastAsia="Times New Roman" w:hAnsi="Bookman Old Style" w:cs="Times New Roman"/>
          <w:noProof/>
          <w:color w:val="000000"/>
          <w:lang w:eastAsia="de-DE"/>
        </w:rPr>
        <w:t>Detyrimi për organizimin e procedurave të rekrutimit nëpërmjet organizimit të provimit të pranimit:</w:t>
      </w:r>
    </w:p>
    <w:p w:rsidR="00466D1F" w:rsidRPr="00466D1F" w:rsidRDefault="00466D1F" w:rsidP="003C4BF1">
      <w:pPr>
        <w:pStyle w:val="ListParagraph"/>
        <w:numPr>
          <w:ilvl w:val="0"/>
          <w:numId w:val="18"/>
        </w:numPr>
        <w:tabs>
          <w:tab w:val="left" w:pos="270"/>
        </w:tabs>
        <w:spacing w:line="240" w:lineRule="auto"/>
        <w:jc w:val="both"/>
        <w:rPr>
          <w:rFonts w:ascii="Bookman Old Style" w:eastAsiaTheme="minorEastAsia" w:hAnsi="Bookman Old Style" w:cs="Times New Roman"/>
          <w:bCs/>
          <w:lang w:val="it-IT"/>
        </w:rPr>
      </w:pPr>
      <w:r w:rsidRPr="00466D1F">
        <w:rPr>
          <w:rFonts w:ascii="Bookman Old Style" w:eastAsia="Times New Roman" w:hAnsi="Bookman Old Style" w:cs="Times New Roman"/>
          <w:b/>
          <w:noProof/>
          <w:lang w:eastAsia="de-DE"/>
        </w:rPr>
        <w:t>25 kandidatëve për magjistratë</w:t>
      </w:r>
      <w:r w:rsidRPr="00466D1F">
        <w:rPr>
          <w:rFonts w:ascii="Bookman Old Style" w:eastAsia="Times New Roman" w:hAnsi="Bookman Old Style" w:cs="Times New Roman"/>
          <w:noProof/>
          <w:color w:val="000000"/>
          <w:lang w:eastAsia="de-DE"/>
        </w:rPr>
        <w:t xml:space="preserve"> (të ndarë në gjyqtarë dhe prokurorë), që vijnë si detyrim i ligjit për vetingun për vitin akademik 2016-2017 dhe 2017-2018), por edhe të paktën 5 kandidatëve për avokatë të shteti në vit, e të 5-10 kandidatëve për këshilltarë e ndihmës ligjorë, duke filluar nga viti akademik 2017-2018);</w:t>
      </w:r>
    </w:p>
    <w:p w:rsidR="00466D1F" w:rsidRPr="00466D1F" w:rsidRDefault="00466D1F" w:rsidP="003C4BF1">
      <w:pPr>
        <w:pStyle w:val="ListParagraph"/>
        <w:numPr>
          <w:ilvl w:val="0"/>
          <w:numId w:val="18"/>
        </w:numPr>
        <w:tabs>
          <w:tab w:val="left" w:pos="270"/>
        </w:tabs>
        <w:spacing w:line="240" w:lineRule="auto"/>
        <w:jc w:val="both"/>
        <w:rPr>
          <w:rFonts w:ascii="Bookman Old Style" w:eastAsiaTheme="minorEastAsia" w:hAnsi="Bookman Old Style" w:cs="Times New Roman"/>
          <w:bCs/>
          <w:lang w:val="it-IT"/>
        </w:rPr>
      </w:pPr>
      <w:r w:rsidRPr="00466D1F">
        <w:rPr>
          <w:rFonts w:ascii="Bookman Old Style" w:eastAsia="Times New Roman" w:hAnsi="Bookman Old Style" w:cs="Times New Roman"/>
          <w:b/>
          <w:noProof/>
          <w:color w:val="000000"/>
          <w:lang w:eastAsia="de-DE"/>
        </w:rPr>
        <w:t>kancelarëve në detyrë</w:t>
      </w:r>
      <w:r w:rsidRPr="00466D1F">
        <w:rPr>
          <w:rFonts w:ascii="Bookman Old Style" w:eastAsia="Times New Roman" w:hAnsi="Bookman Old Style" w:cs="Times New Roman"/>
          <w:noProof/>
          <w:color w:val="000000"/>
          <w:lang w:eastAsia="de-DE"/>
        </w:rPr>
        <w:t xml:space="preserve"> (një herë në tre vjet), si edhe të kandidatëve për kancelar;</w:t>
      </w:r>
    </w:p>
    <w:p w:rsidR="00466D1F" w:rsidRDefault="00466D1F" w:rsidP="006753A3">
      <w:pPr>
        <w:tabs>
          <w:tab w:val="left" w:pos="270"/>
        </w:tabs>
        <w:spacing w:line="240" w:lineRule="auto"/>
        <w:ind w:left="270"/>
        <w:jc w:val="both"/>
        <w:rPr>
          <w:rFonts w:ascii="Bookman Old Style" w:hAnsi="Bookman Old Style" w:cs="Times New Roman"/>
          <w:bCs/>
          <w:lang w:val="it-IT"/>
        </w:rPr>
      </w:pPr>
      <w:r>
        <w:rPr>
          <w:rFonts w:ascii="Bookman Old Style" w:eastAsia="Times New Roman" w:hAnsi="Bookman Old Style" w:cs="Times New Roman"/>
          <w:noProof/>
          <w:color w:val="000000"/>
          <w:lang w:eastAsia="de-DE"/>
        </w:rPr>
        <w:t xml:space="preserve">3. </w:t>
      </w:r>
      <w:r w:rsidRPr="00466D1F">
        <w:rPr>
          <w:rFonts w:ascii="Bookman Old Style" w:eastAsia="Times New Roman" w:hAnsi="Bookman Old Style" w:cs="Times New Roman"/>
          <w:noProof/>
          <w:color w:val="000000"/>
          <w:lang w:eastAsia="de-DE"/>
        </w:rPr>
        <w:t>Detyrimi për kryerjen e testimit profesional, për shkak të ligjit të vetingut, nëpërmjet organizimit të procedurave të provimit të:</w:t>
      </w:r>
    </w:p>
    <w:p w:rsidR="00466D1F" w:rsidRPr="00466D1F" w:rsidRDefault="00466D1F" w:rsidP="003C4BF1">
      <w:pPr>
        <w:pStyle w:val="ListParagraph"/>
        <w:numPr>
          <w:ilvl w:val="0"/>
          <w:numId w:val="19"/>
        </w:numPr>
        <w:tabs>
          <w:tab w:val="left" w:pos="270"/>
        </w:tabs>
        <w:spacing w:line="240" w:lineRule="auto"/>
        <w:jc w:val="both"/>
        <w:rPr>
          <w:rFonts w:ascii="Bookman Old Style" w:eastAsiaTheme="minorEastAsia" w:hAnsi="Bookman Old Style" w:cs="Times New Roman"/>
          <w:bCs/>
          <w:lang w:val="it-IT"/>
        </w:rPr>
      </w:pPr>
      <w:r w:rsidRPr="00466D1F">
        <w:rPr>
          <w:rFonts w:ascii="Bookman Old Style" w:eastAsia="Times New Roman" w:hAnsi="Bookman Old Style" w:cs="Times New Roman"/>
          <w:noProof/>
          <w:color w:val="000000"/>
          <w:lang w:eastAsia="de-DE"/>
        </w:rPr>
        <w:t>këshilltarëve ligjor të Gjykatës Kushtetuese, dhe të Gjykatës së Lartë, ndihmësve ligjorë pranë gjykatave administrative, ndihmësve ligjorë pranë Prokurorisë të  Përgjithshme</w:t>
      </w:r>
    </w:p>
    <w:p w:rsidR="00466D1F" w:rsidRPr="00466D1F" w:rsidRDefault="00466D1F" w:rsidP="003C4BF1">
      <w:pPr>
        <w:pStyle w:val="ListParagraph"/>
        <w:numPr>
          <w:ilvl w:val="0"/>
          <w:numId w:val="19"/>
        </w:numPr>
        <w:tabs>
          <w:tab w:val="left" w:pos="270"/>
        </w:tabs>
        <w:spacing w:line="240" w:lineRule="auto"/>
        <w:jc w:val="both"/>
        <w:rPr>
          <w:rFonts w:ascii="Bookman Old Style" w:eastAsiaTheme="minorEastAsia" w:hAnsi="Bookman Old Style" w:cs="Times New Roman"/>
          <w:bCs/>
          <w:lang w:val="it-IT"/>
        </w:rPr>
      </w:pPr>
      <w:r w:rsidRPr="00466D1F">
        <w:rPr>
          <w:rFonts w:ascii="Bookman Old Style" w:eastAsia="Times New Roman" w:hAnsi="Bookman Old Style" w:cs="Times New Roman"/>
          <w:noProof/>
          <w:color w:val="000000"/>
          <w:lang w:eastAsia="de-DE"/>
        </w:rPr>
        <w:lastRenderedPageBreak/>
        <w:t>ish-gjyqtarëve, ish prokurorëve, ish kë</w:t>
      </w:r>
      <w:r>
        <w:rPr>
          <w:rFonts w:ascii="Bookman Old Style" w:eastAsia="Times New Roman" w:hAnsi="Bookman Old Style" w:cs="Times New Roman"/>
          <w:noProof/>
          <w:color w:val="000000"/>
          <w:lang w:eastAsia="de-DE"/>
        </w:rPr>
        <w:t xml:space="preserve">shilltarëve ligjorë të Gjykatës </w:t>
      </w:r>
      <w:r w:rsidRPr="00466D1F">
        <w:rPr>
          <w:rFonts w:ascii="Bookman Old Style" w:eastAsia="Times New Roman" w:hAnsi="Bookman Old Style" w:cs="Times New Roman"/>
          <w:noProof/>
          <w:color w:val="000000"/>
          <w:lang w:eastAsia="de-DE"/>
        </w:rPr>
        <w:t>Kushtetuese dhe të Gjykatës së Lartë, të cilët kanë punuar në këto pozicione të paktën tre vje</w:t>
      </w:r>
      <w:r w:rsidR="006753A3">
        <w:rPr>
          <w:rFonts w:ascii="Bookman Old Style" w:eastAsia="Times New Roman" w:hAnsi="Bookman Old Style" w:cs="Times New Roman"/>
          <w:noProof/>
          <w:color w:val="000000"/>
          <w:lang w:eastAsia="de-DE"/>
        </w:rPr>
        <w:t>t;</w:t>
      </w:r>
    </w:p>
    <w:p w:rsidR="006753A3" w:rsidRDefault="006753A3" w:rsidP="006753A3">
      <w:pPr>
        <w:spacing w:after="0" w:line="240" w:lineRule="auto"/>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    4. </w:t>
      </w:r>
      <w:r w:rsidR="00466D1F" w:rsidRPr="00EF39F1">
        <w:rPr>
          <w:rFonts w:ascii="Bookman Old Style" w:eastAsia="Times New Roman" w:hAnsi="Bookman Old Style" w:cs="Times New Roman"/>
          <w:noProof/>
          <w:color w:val="000000"/>
          <w:lang w:eastAsia="de-DE"/>
        </w:rPr>
        <w:t>Detyrimi për formimin profesional fillestar të:</w:t>
      </w:r>
    </w:p>
    <w:p w:rsidR="006753A3" w:rsidRDefault="006753A3" w:rsidP="006753A3">
      <w:pPr>
        <w:spacing w:after="0" w:line="240" w:lineRule="auto"/>
        <w:jc w:val="both"/>
        <w:rPr>
          <w:rFonts w:ascii="Bookman Old Style" w:eastAsia="Times New Roman" w:hAnsi="Bookman Old Style" w:cs="Times New Roman"/>
          <w:noProof/>
          <w:color w:val="000000"/>
          <w:lang w:eastAsia="de-DE"/>
        </w:rPr>
      </w:pPr>
    </w:p>
    <w:p w:rsidR="00466D1F" w:rsidRPr="006753A3" w:rsidRDefault="00466D1F" w:rsidP="003C4BF1">
      <w:pPr>
        <w:pStyle w:val="ListParagraph"/>
        <w:numPr>
          <w:ilvl w:val="0"/>
          <w:numId w:val="20"/>
        </w:numPr>
        <w:spacing w:after="0" w:line="240" w:lineRule="auto"/>
        <w:jc w:val="both"/>
        <w:rPr>
          <w:rFonts w:ascii="Bookman Old Style" w:eastAsia="Times New Roman" w:hAnsi="Bookman Old Style" w:cs="Times New Roman"/>
          <w:noProof/>
          <w:color w:val="000000"/>
          <w:lang w:eastAsia="de-DE"/>
        </w:rPr>
      </w:pPr>
      <w:r w:rsidRPr="006753A3">
        <w:rPr>
          <w:rFonts w:ascii="Bookman Old Style" w:eastAsia="Times New Roman" w:hAnsi="Bookman Old Style" w:cs="Times New Roman"/>
          <w:b/>
          <w:noProof/>
          <w:color w:val="000000"/>
          <w:lang w:eastAsia="de-DE"/>
        </w:rPr>
        <w:t xml:space="preserve">kandidatëve për magjistratë, </w:t>
      </w:r>
      <w:r w:rsidRPr="006753A3">
        <w:rPr>
          <w:rFonts w:ascii="Bookman Old Style" w:eastAsia="Times New Roman" w:hAnsi="Bookman Old Style" w:cs="Times New Roman"/>
          <w:noProof/>
          <w:color w:val="000000"/>
          <w:lang w:eastAsia="de-DE"/>
        </w:rPr>
        <w:t xml:space="preserve">nëpërmjet një programi mësimor tre vjecar, </w:t>
      </w:r>
    </w:p>
    <w:p w:rsidR="00466D1F" w:rsidRDefault="00466D1F" w:rsidP="00466D1F">
      <w:pPr>
        <w:spacing w:after="0" w:line="240" w:lineRule="auto"/>
        <w:ind w:left="990"/>
        <w:jc w:val="both"/>
        <w:rPr>
          <w:rFonts w:ascii="Bookman Old Style" w:eastAsia="Times New Roman" w:hAnsi="Bookman Old Style" w:cs="Times New Roman"/>
          <w:noProof/>
          <w:color w:val="000000"/>
          <w:lang w:eastAsia="de-DE"/>
        </w:rPr>
      </w:pPr>
      <w:r w:rsidRPr="00EF39F1">
        <w:rPr>
          <w:rFonts w:ascii="Bookman Old Style" w:eastAsia="Times New Roman" w:hAnsi="Bookman Old Style" w:cs="Times New Roman"/>
          <w:noProof/>
          <w:color w:val="000000"/>
          <w:lang w:eastAsia="de-DE"/>
        </w:rPr>
        <w:t xml:space="preserve">shoqëruar me kurikula të standarteve bashkëkohore të përshtatura edhe me </w:t>
      </w:r>
    </w:p>
    <w:p w:rsidR="00466D1F" w:rsidRDefault="00466D1F" w:rsidP="00466D1F">
      <w:pPr>
        <w:spacing w:after="0" w:line="240" w:lineRule="auto"/>
        <w:ind w:left="990"/>
        <w:jc w:val="both"/>
        <w:rPr>
          <w:rFonts w:ascii="Bookman Old Style" w:eastAsia="Times New Roman" w:hAnsi="Bookman Old Style" w:cs="Times New Roman"/>
          <w:noProof/>
          <w:color w:val="000000"/>
          <w:lang w:eastAsia="de-DE"/>
        </w:rPr>
      </w:pPr>
      <w:r w:rsidRPr="00EF39F1">
        <w:rPr>
          <w:rFonts w:ascii="Bookman Old Style" w:eastAsia="Times New Roman" w:hAnsi="Bookman Old Style" w:cs="Times New Roman"/>
          <w:noProof/>
          <w:color w:val="000000"/>
          <w:lang w:eastAsia="de-DE"/>
        </w:rPr>
        <w:t xml:space="preserve">ndryshimet apo detyrimet që kanë të bëjnë me sistemin në kuadër të reformës në </w:t>
      </w:r>
    </w:p>
    <w:p w:rsidR="006753A3" w:rsidRDefault="00466D1F" w:rsidP="006753A3">
      <w:pPr>
        <w:spacing w:after="0" w:line="240" w:lineRule="auto"/>
        <w:ind w:left="990"/>
        <w:jc w:val="both"/>
        <w:rPr>
          <w:rFonts w:ascii="Bookman Old Style" w:eastAsia="Times New Roman" w:hAnsi="Bookman Old Style" w:cs="Times New Roman"/>
          <w:noProof/>
          <w:color w:val="000000"/>
          <w:lang w:eastAsia="de-DE"/>
        </w:rPr>
      </w:pPr>
      <w:r w:rsidRPr="00EF39F1">
        <w:rPr>
          <w:rFonts w:ascii="Bookman Old Style" w:eastAsia="Times New Roman" w:hAnsi="Bookman Old Style" w:cs="Times New Roman"/>
          <w:noProof/>
          <w:color w:val="000000"/>
          <w:lang w:eastAsia="de-DE"/>
        </w:rPr>
        <w:t>drejtësi;</w:t>
      </w:r>
    </w:p>
    <w:p w:rsidR="00466D1F" w:rsidRPr="006753A3" w:rsidRDefault="00466D1F" w:rsidP="003C4BF1">
      <w:pPr>
        <w:pStyle w:val="ListParagraph"/>
        <w:numPr>
          <w:ilvl w:val="0"/>
          <w:numId w:val="20"/>
        </w:numPr>
        <w:spacing w:after="0" w:line="240" w:lineRule="auto"/>
        <w:jc w:val="both"/>
        <w:rPr>
          <w:rFonts w:ascii="Bookman Old Style" w:eastAsia="Times New Roman" w:hAnsi="Bookman Old Style" w:cs="Times New Roman"/>
          <w:noProof/>
          <w:color w:val="000000"/>
          <w:lang w:eastAsia="de-DE"/>
        </w:rPr>
      </w:pPr>
      <w:r w:rsidRPr="006753A3">
        <w:rPr>
          <w:rFonts w:ascii="Bookman Old Style" w:eastAsia="Times New Roman" w:hAnsi="Bookman Old Style" w:cs="Times New Roman"/>
          <w:b/>
          <w:noProof/>
          <w:color w:val="000000"/>
          <w:lang w:eastAsia="de-DE"/>
        </w:rPr>
        <w:t>gjyqtarëve dhe prokurorëve që nuk do të kalojnë procesin e vetingut</w:t>
      </w:r>
      <w:r w:rsidRPr="006753A3">
        <w:rPr>
          <w:rFonts w:ascii="Bookman Old Style" w:eastAsia="Times New Roman" w:hAnsi="Bookman Old Style" w:cs="Times New Roman"/>
          <w:noProof/>
          <w:color w:val="000000"/>
          <w:lang w:eastAsia="de-DE"/>
        </w:rPr>
        <w:t xml:space="preserve"> për </w:t>
      </w:r>
    </w:p>
    <w:p w:rsidR="006753A3" w:rsidRDefault="00466D1F" w:rsidP="006753A3">
      <w:pPr>
        <w:spacing w:after="0" w:line="240" w:lineRule="auto"/>
        <w:ind w:left="1080"/>
        <w:jc w:val="both"/>
        <w:rPr>
          <w:rFonts w:ascii="Bookman Old Style" w:eastAsia="Times New Roman" w:hAnsi="Bookman Old Style" w:cs="Times New Roman"/>
          <w:noProof/>
          <w:color w:val="000000"/>
          <w:lang w:eastAsia="de-DE"/>
        </w:rPr>
      </w:pPr>
      <w:r w:rsidRPr="00EF39F1">
        <w:rPr>
          <w:rFonts w:ascii="Bookman Old Style" w:eastAsia="Times New Roman" w:hAnsi="Bookman Old Style" w:cs="Times New Roman"/>
          <w:noProof/>
          <w:color w:val="000000"/>
          <w:lang w:eastAsia="de-DE"/>
        </w:rPr>
        <w:t>arsye të përgatitjes së pamjaftueshme profesionale, nëpërmjet një programi mësimor një vjecar të përshtatur për ta, që i përgjigjet eksperiencës dhe përgatitjes që ata kanë;</w:t>
      </w:r>
    </w:p>
    <w:p w:rsidR="00466D1F" w:rsidRPr="006753A3" w:rsidRDefault="00466D1F" w:rsidP="003C4BF1">
      <w:pPr>
        <w:pStyle w:val="ListParagraph"/>
        <w:numPr>
          <w:ilvl w:val="0"/>
          <w:numId w:val="20"/>
        </w:numPr>
        <w:spacing w:after="0" w:line="240" w:lineRule="auto"/>
        <w:jc w:val="both"/>
        <w:rPr>
          <w:rFonts w:ascii="Bookman Old Style" w:eastAsia="Times New Roman" w:hAnsi="Bookman Old Style" w:cs="Times New Roman"/>
          <w:noProof/>
          <w:color w:val="000000"/>
          <w:lang w:eastAsia="de-DE"/>
        </w:rPr>
      </w:pPr>
      <w:r w:rsidRPr="006753A3">
        <w:rPr>
          <w:rFonts w:ascii="Bookman Old Style" w:eastAsia="Times New Roman" w:hAnsi="Bookman Old Style" w:cs="Times New Roman"/>
          <w:b/>
          <w:noProof/>
          <w:color w:val="000000"/>
          <w:lang w:eastAsia="de-DE"/>
        </w:rPr>
        <w:t xml:space="preserve">kandidatëve për pozicionet në Avokaturën e Shtetit dhe të kandidatëve për </w:t>
      </w:r>
    </w:p>
    <w:p w:rsidR="006753A3" w:rsidRDefault="00466D1F" w:rsidP="006753A3">
      <w:pPr>
        <w:spacing w:after="0" w:line="240" w:lineRule="auto"/>
        <w:ind w:left="1080"/>
        <w:jc w:val="both"/>
        <w:rPr>
          <w:rFonts w:ascii="Bookman Old Style" w:eastAsia="Times New Roman" w:hAnsi="Bookman Old Style" w:cs="Times New Roman"/>
          <w:noProof/>
          <w:color w:val="000000"/>
          <w:lang w:eastAsia="de-DE"/>
        </w:rPr>
      </w:pPr>
      <w:r w:rsidRPr="00EF39F1">
        <w:rPr>
          <w:rFonts w:ascii="Bookman Old Style" w:eastAsia="Times New Roman" w:hAnsi="Bookman Old Style" w:cs="Times New Roman"/>
          <w:b/>
          <w:noProof/>
          <w:color w:val="000000"/>
          <w:lang w:eastAsia="de-DE"/>
        </w:rPr>
        <w:t>ndihmës ligjorë</w:t>
      </w:r>
      <w:r w:rsidRPr="00EF39F1">
        <w:rPr>
          <w:rFonts w:ascii="Bookman Old Style" w:eastAsia="Times New Roman" w:hAnsi="Bookman Old Style" w:cs="Times New Roman"/>
          <w:noProof/>
          <w:color w:val="000000"/>
          <w:lang w:eastAsia="de-DE"/>
        </w:rPr>
        <w:t xml:space="preserve"> nëpërmjet një programi mësimor dy vjeçar, që i përgjigjet eksperiencës dhe përgatitjes që ata kanë;</w:t>
      </w:r>
    </w:p>
    <w:p w:rsidR="00466D1F" w:rsidRPr="006753A3" w:rsidRDefault="00466D1F" w:rsidP="003C4BF1">
      <w:pPr>
        <w:pStyle w:val="ListParagraph"/>
        <w:numPr>
          <w:ilvl w:val="0"/>
          <w:numId w:val="20"/>
        </w:numPr>
        <w:spacing w:after="0" w:line="240" w:lineRule="auto"/>
        <w:jc w:val="both"/>
        <w:rPr>
          <w:rFonts w:ascii="Bookman Old Style" w:eastAsia="Times New Roman" w:hAnsi="Bookman Old Style" w:cs="Times New Roman"/>
          <w:noProof/>
          <w:color w:val="000000"/>
          <w:lang w:eastAsia="de-DE"/>
        </w:rPr>
      </w:pPr>
      <w:r w:rsidRPr="006753A3">
        <w:rPr>
          <w:rFonts w:ascii="Bookman Old Style" w:eastAsia="Times New Roman" w:hAnsi="Bookman Old Style" w:cs="Times New Roman"/>
          <w:b/>
          <w:noProof/>
          <w:color w:val="000000"/>
          <w:lang w:eastAsia="de-DE"/>
        </w:rPr>
        <w:t>kandidatëve për kancelarë</w:t>
      </w:r>
      <w:r w:rsidRPr="006753A3">
        <w:rPr>
          <w:rFonts w:ascii="Bookman Old Style" w:eastAsia="Times New Roman" w:hAnsi="Bookman Old Style" w:cs="Times New Roman"/>
          <w:noProof/>
          <w:color w:val="000000"/>
          <w:lang w:eastAsia="de-DE"/>
        </w:rPr>
        <w:t xml:space="preserve"> nëpërmjet një programi tre mujor të organizuar si </w:t>
      </w:r>
    </w:p>
    <w:p w:rsidR="00466D1F" w:rsidRPr="00EF39F1" w:rsidRDefault="00466D1F" w:rsidP="00466D1F">
      <w:pPr>
        <w:tabs>
          <w:tab w:val="left" w:pos="810"/>
          <w:tab w:val="left" w:pos="1080"/>
        </w:tabs>
        <w:spacing w:after="0" w:line="240" w:lineRule="auto"/>
        <w:ind w:left="81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ab/>
      </w:r>
      <w:r w:rsidRPr="00EF39F1">
        <w:rPr>
          <w:rFonts w:ascii="Bookman Old Style" w:eastAsia="Times New Roman" w:hAnsi="Bookman Old Style" w:cs="Times New Roman"/>
          <w:noProof/>
          <w:color w:val="000000"/>
          <w:lang w:eastAsia="de-DE"/>
        </w:rPr>
        <w:t>pjesë e trajnimit fillestar të tyre;</w:t>
      </w:r>
    </w:p>
    <w:p w:rsidR="00466D1F" w:rsidRPr="00EF39F1" w:rsidRDefault="00466D1F" w:rsidP="00466D1F">
      <w:pPr>
        <w:spacing w:after="0"/>
        <w:ind w:left="780"/>
        <w:jc w:val="both"/>
        <w:rPr>
          <w:rFonts w:ascii="Bookman Old Style" w:eastAsia="Times New Roman" w:hAnsi="Bookman Old Style" w:cs="Times New Roman"/>
          <w:b/>
          <w:noProof/>
          <w:color w:val="000000"/>
          <w:lang w:eastAsia="de-DE"/>
        </w:rPr>
      </w:pPr>
    </w:p>
    <w:p w:rsidR="00466D1F" w:rsidRPr="006753A3" w:rsidRDefault="006753A3" w:rsidP="006753A3">
      <w:pPr>
        <w:tabs>
          <w:tab w:val="left" w:pos="270"/>
        </w:tabs>
        <w:spacing w:line="240" w:lineRule="auto"/>
        <w:ind w:left="270"/>
        <w:jc w:val="both"/>
        <w:rPr>
          <w:rFonts w:ascii="Bookman Old Style" w:eastAsia="Times New Roman" w:hAnsi="Bookman Old Style" w:cs="Times New Roman"/>
          <w:noProof/>
          <w:color w:val="000000"/>
          <w:lang w:eastAsia="de-DE"/>
        </w:rPr>
      </w:pPr>
      <w:r w:rsidRPr="006753A3">
        <w:rPr>
          <w:rFonts w:ascii="Bookman Old Style" w:eastAsia="Times New Roman" w:hAnsi="Bookman Old Style" w:cs="Times New Roman"/>
          <w:noProof/>
          <w:color w:val="000000"/>
          <w:lang w:eastAsia="de-DE"/>
        </w:rPr>
        <w:t xml:space="preserve">5. </w:t>
      </w:r>
      <w:r w:rsidR="00466D1F" w:rsidRPr="006753A3">
        <w:rPr>
          <w:rFonts w:ascii="Bookman Old Style" w:eastAsia="Times New Roman" w:hAnsi="Bookman Old Style" w:cs="Times New Roman"/>
          <w:noProof/>
          <w:color w:val="000000"/>
          <w:lang w:eastAsia="de-DE"/>
        </w:rPr>
        <w:t>Sigurimi i standartit më të lartë në mësimdhënie, nëpërmjet përsosjes dhe përafrimit të programeve të lëndëve me standartet dhe kurrikulat e vendeve europiane. Programet dhe planet e mësimdhënies do të rishikohen për të siguruar që ato janë në përputhje me ndryshimet e legjislacionit. Në veçanti do të përqëndrohemi tek ndryshimet apo detyrimet që kanë të bëjnë me gjyqësorin dhe prokurorinë, në kuadër të reformave në sistemin</w:t>
      </w:r>
      <w:r>
        <w:rPr>
          <w:rFonts w:ascii="Bookman Old Style" w:eastAsia="Times New Roman" w:hAnsi="Bookman Old Style" w:cs="Times New Roman"/>
          <w:noProof/>
          <w:color w:val="000000"/>
          <w:lang w:eastAsia="de-DE"/>
        </w:rPr>
        <w:t xml:space="preserve"> e drejtësisë nëpë</w:t>
      </w:r>
      <w:r w:rsidR="00466D1F" w:rsidRPr="006753A3">
        <w:rPr>
          <w:rFonts w:ascii="Bookman Old Style" w:eastAsia="Times New Roman" w:hAnsi="Bookman Old Style" w:cs="Times New Roman"/>
          <w:noProof/>
          <w:color w:val="000000"/>
          <w:lang w:eastAsia="de-DE"/>
        </w:rPr>
        <w:t>rmjet:</w:t>
      </w:r>
    </w:p>
    <w:p w:rsidR="006753A3" w:rsidRDefault="00466D1F" w:rsidP="003C4BF1">
      <w:pPr>
        <w:pStyle w:val="ListParagraph"/>
        <w:numPr>
          <w:ilvl w:val="0"/>
          <w:numId w:val="20"/>
        </w:numPr>
        <w:spacing w:after="0" w:line="240" w:lineRule="auto"/>
        <w:jc w:val="both"/>
        <w:rPr>
          <w:rFonts w:ascii="Bookman Old Style" w:eastAsia="Times New Roman" w:hAnsi="Bookman Old Style" w:cs="Times New Roman"/>
          <w:noProof/>
          <w:color w:val="000000"/>
          <w:lang w:eastAsia="de-DE"/>
        </w:rPr>
      </w:pPr>
      <w:r w:rsidRPr="006753A3">
        <w:rPr>
          <w:rFonts w:ascii="Bookman Old Style" w:eastAsia="Times New Roman" w:hAnsi="Bookman Old Style" w:cs="Times New Roman"/>
          <w:noProof/>
          <w:color w:val="000000"/>
          <w:lang w:eastAsia="de-DE"/>
        </w:rPr>
        <w:t xml:space="preserve">përgatitja e kurrikulave kandidatëve për 25 magjistratë për gjyqtarë dhe prokurorë që vijnë si detyrim i ligjit për vetingun (viti akademik 2016-2017 dhe viti akademik 2017-2018) + avokatëve të shtetit, (5 persona në vit viti akademik 2017-2018), si edhe për </w:t>
      </w:r>
      <w:r w:rsidRPr="006753A3">
        <w:rPr>
          <w:rFonts w:ascii="Bookman Old Style" w:eastAsia="Times New Roman" w:hAnsi="Bookman Old Style" w:cs="Times New Roman"/>
          <w:b/>
          <w:noProof/>
          <w:color w:val="000000"/>
          <w:lang w:eastAsia="de-DE"/>
        </w:rPr>
        <w:t xml:space="preserve">kandidatët për pozicionet në Avokaturën e Shtetit dhe të kandidatëve për ndihmës ligjorë </w:t>
      </w:r>
      <w:r w:rsidRPr="006753A3">
        <w:rPr>
          <w:rFonts w:ascii="Bookman Old Style" w:eastAsia="Times New Roman" w:hAnsi="Bookman Old Style" w:cs="Times New Roman"/>
          <w:noProof/>
          <w:color w:val="000000"/>
          <w:lang w:eastAsia="de-DE"/>
        </w:rPr>
        <w:t xml:space="preserve">(5-10 persona në vit, viti akademik 2017-2018...); </w:t>
      </w:r>
    </w:p>
    <w:p w:rsidR="006753A3" w:rsidRDefault="00466D1F" w:rsidP="003C4BF1">
      <w:pPr>
        <w:pStyle w:val="ListParagraph"/>
        <w:numPr>
          <w:ilvl w:val="0"/>
          <w:numId w:val="20"/>
        </w:numPr>
        <w:spacing w:after="0" w:line="240" w:lineRule="auto"/>
        <w:jc w:val="both"/>
        <w:rPr>
          <w:rFonts w:ascii="Bookman Old Style" w:eastAsia="Times New Roman" w:hAnsi="Bookman Old Style" w:cs="Times New Roman"/>
          <w:noProof/>
          <w:color w:val="000000"/>
          <w:lang w:eastAsia="de-DE"/>
        </w:rPr>
      </w:pPr>
      <w:r w:rsidRPr="006753A3">
        <w:rPr>
          <w:rFonts w:ascii="Bookman Old Style" w:eastAsia="Times New Roman" w:hAnsi="Bookman Old Style" w:cs="Times New Roman"/>
          <w:noProof/>
          <w:color w:val="000000"/>
          <w:lang w:eastAsia="de-DE"/>
        </w:rPr>
        <w:t>përgatitja e kurrikulave për trajnimin fillestar të kandidatëve për magjistratë që vijnë nga radhët e gjyqtarëve dhe prokurorëve që nuk do të kalojnë procesin e vetingut për arsye të përgatitjes së pamjaftueshme profesionale,</w:t>
      </w:r>
    </w:p>
    <w:p w:rsidR="006753A3" w:rsidRDefault="00466D1F" w:rsidP="003C4BF1">
      <w:pPr>
        <w:pStyle w:val="ListParagraph"/>
        <w:numPr>
          <w:ilvl w:val="0"/>
          <w:numId w:val="20"/>
        </w:numPr>
        <w:spacing w:after="0" w:line="240" w:lineRule="auto"/>
        <w:jc w:val="both"/>
        <w:rPr>
          <w:rFonts w:ascii="Bookman Old Style" w:eastAsia="Times New Roman" w:hAnsi="Bookman Old Style" w:cs="Times New Roman"/>
          <w:noProof/>
          <w:color w:val="000000"/>
          <w:lang w:eastAsia="de-DE"/>
        </w:rPr>
      </w:pPr>
      <w:r w:rsidRPr="006753A3">
        <w:rPr>
          <w:rFonts w:ascii="Bookman Old Style" w:eastAsia="Times New Roman" w:hAnsi="Bookman Old Style" w:cs="Times New Roman"/>
          <w:noProof/>
          <w:color w:val="000000"/>
          <w:lang w:eastAsia="de-DE"/>
        </w:rPr>
        <w:t>përgatitja e kurrikulave për trajnimin fillestar të kancelarëve të gjykatave dhe prokurorive;</w:t>
      </w:r>
    </w:p>
    <w:p w:rsidR="006753A3" w:rsidRDefault="00466D1F" w:rsidP="003C4BF1">
      <w:pPr>
        <w:pStyle w:val="ListParagraph"/>
        <w:numPr>
          <w:ilvl w:val="0"/>
          <w:numId w:val="20"/>
        </w:numPr>
        <w:spacing w:after="0" w:line="240" w:lineRule="auto"/>
        <w:jc w:val="both"/>
        <w:rPr>
          <w:rFonts w:ascii="Bookman Old Style" w:eastAsia="Times New Roman" w:hAnsi="Bookman Old Style" w:cs="Times New Roman"/>
          <w:noProof/>
          <w:color w:val="000000"/>
          <w:lang w:eastAsia="de-DE"/>
        </w:rPr>
      </w:pPr>
      <w:r w:rsidRPr="006753A3">
        <w:rPr>
          <w:rFonts w:ascii="Bookman Old Style" w:eastAsia="Times New Roman" w:hAnsi="Bookman Old Style" w:cs="Times New Roman"/>
          <w:noProof/>
          <w:color w:val="000000"/>
          <w:lang w:eastAsia="de-DE"/>
        </w:rPr>
        <w:t>sigurimi i sallave për mësim të tre grupeve, ku nevojiten të paktën një sallë për cdo grup prej 25 personash;</w:t>
      </w:r>
    </w:p>
    <w:p w:rsidR="006753A3" w:rsidRDefault="00466D1F" w:rsidP="003C4BF1">
      <w:pPr>
        <w:pStyle w:val="ListParagraph"/>
        <w:numPr>
          <w:ilvl w:val="0"/>
          <w:numId w:val="20"/>
        </w:numPr>
        <w:spacing w:after="0" w:line="240" w:lineRule="auto"/>
        <w:jc w:val="both"/>
        <w:rPr>
          <w:rFonts w:ascii="Bookman Old Style" w:eastAsia="Times New Roman" w:hAnsi="Bookman Old Style" w:cs="Times New Roman"/>
          <w:noProof/>
          <w:color w:val="000000"/>
          <w:lang w:eastAsia="de-DE"/>
        </w:rPr>
      </w:pPr>
      <w:r w:rsidRPr="006753A3">
        <w:rPr>
          <w:rFonts w:ascii="Bookman Old Style" w:eastAsia="Times New Roman" w:hAnsi="Bookman Old Style" w:cs="Times New Roman"/>
          <w:noProof/>
          <w:color w:val="000000"/>
          <w:lang w:eastAsia="de-DE"/>
        </w:rPr>
        <w:t xml:space="preserve">sigurimi i trupës pedagogjike për cdo grup trajnimi dhe për cdo program trajnimi, duke llogaritur që për 20-25 kandidatë që trajnohen nevojiten rreth 35-40 pedagogë për programin e plotë tre vjecar dhe rreth 20 trajnerë në programin më të reduktuar  për kategoritë e trajnimit 1.1.2 dhe 1.2.1 </w:t>
      </w:r>
    </w:p>
    <w:p w:rsidR="00466D1F" w:rsidRPr="006753A3" w:rsidRDefault="00466D1F" w:rsidP="003C4BF1">
      <w:pPr>
        <w:pStyle w:val="ListParagraph"/>
        <w:numPr>
          <w:ilvl w:val="0"/>
          <w:numId w:val="20"/>
        </w:numPr>
        <w:spacing w:after="0" w:line="240" w:lineRule="auto"/>
        <w:jc w:val="both"/>
        <w:rPr>
          <w:rFonts w:ascii="Bookman Old Style" w:eastAsia="Times New Roman" w:hAnsi="Bookman Old Style" w:cs="Times New Roman"/>
          <w:noProof/>
          <w:color w:val="000000"/>
          <w:lang w:eastAsia="de-DE"/>
        </w:rPr>
      </w:pPr>
      <w:r w:rsidRPr="006753A3">
        <w:rPr>
          <w:rFonts w:ascii="Bookman Old Style" w:eastAsia="Times New Roman" w:hAnsi="Bookman Old Style" w:cs="Times New Roman"/>
          <w:noProof/>
          <w:color w:val="000000"/>
          <w:lang w:eastAsia="de-DE"/>
        </w:rPr>
        <w:t>sigurimi i një shtese në stafin administrativ me të paktën 2-3 persona për cdo program trajnimi gjate tre vjeteve ne vazhdim;</w:t>
      </w:r>
    </w:p>
    <w:p w:rsidR="00466D1F" w:rsidRDefault="00466D1F" w:rsidP="00466D1F">
      <w:pPr>
        <w:spacing w:after="0" w:line="240" w:lineRule="auto"/>
        <w:rPr>
          <w:rFonts w:ascii="Bookman Old Style" w:hAnsi="Bookman Old Style" w:cs="Times New Roman"/>
          <w:lang w:val="it-IT"/>
        </w:rPr>
      </w:pPr>
    </w:p>
    <w:p w:rsidR="00466D1F" w:rsidRPr="006753A3" w:rsidRDefault="006753A3" w:rsidP="006753A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6. </w:t>
      </w:r>
      <w:r w:rsidR="00466D1F" w:rsidRPr="006753A3">
        <w:rPr>
          <w:rFonts w:ascii="Bookman Old Style" w:eastAsia="Times New Roman" w:hAnsi="Bookman Old Style" w:cs="Times New Roman"/>
          <w:noProof/>
          <w:color w:val="000000"/>
          <w:lang w:eastAsia="de-DE"/>
        </w:rPr>
        <w:t>Rritja e nivelit të mësimdhënies nga pedagogët edhe nëp</w:t>
      </w:r>
      <w:r w:rsidRPr="006753A3">
        <w:rPr>
          <w:rFonts w:ascii="Bookman Old Style" w:eastAsia="Times New Roman" w:hAnsi="Bookman Old Style" w:cs="Times New Roman"/>
          <w:noProof/>
          <w:color w:val="000000"/>
          <w:lang w:eastAsia="de-DE"/>
        </w:rPr>
        <w:t xml:space="preserve">ërmjet ndërtimit të një sistemi </w:t>
      </w:r>
      <w:r w:rsidR="00466D1F" w:rsidRPr="006753A3">
        <w:rPr>
          <w:rFonts w:ascii="Bookman Old Style" w:eastAsia="Times New Roman" w:hAnsi="Bookman Old Style" w:cs="Times New Roman"/>
          <w:noProof/>
          <w:color w:val="000000"/>
          <w:lang w:eastAsia="de-DE"/>
        </w:rPr>
        <w:t xml:space="preserve">vlerësimi të Trajnimit Fillestar nga vetë studentët.Shkolla duhet të mbështetet tek një staf pedagogjik me përvojë. Për këtë arsye, ne kemi ndërtuar një sistem të vlerësimit të nivelit të Trajnimit Fillestar, ku kryesisht studentët shprehen anonimisht për nivelin e organizimit të proçesit mësimor, duke filluar nga programet, struktura e tyre, tematika, metodologjia, </w:t>
      </w:r>
      <w:r w:rsidR="00466D1F" w:rsidRPr="006753A3">
        <w:rPr>
          <w:rFonts w:ascii="Bookman Old Style" w:eastAsia="Times New Roman" w:hAnsi="Bookman Old Style" w:cs="Times New Roman"/>
          <w:noProof/>
          <w:color w:val="000000"/>
          <w:lang w:eastAsia="de-DE"/>
        </w:rPr>
        <w:lastRenderedPageBreak/>
        <w:t xml:space="preserve">pedagogët dhe ekspertet, me qëllim që të pasqyrohen ndryshimet për vitet e ardhshme akademike.  Për të rritur shkallën e profesionalizmit në mësimdhënie, duhet të bëhet kujdes në zbatimin e sistemit të vlerësimit të pedagogëve, për të parë nëse ka nevojë për ndryshime në listën e tyre, si dhe në grupet e lëndëve; </w:t>
      </w:r>
    </w:p>
    <w:p w:rsidR="00D16212" w:rsidRPr="00D16212" w:rsidRDefault="00D16212" w:rsidP="006753A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7. </w:t>
      </w:r>
      <w:r w:rsidRPr="00D16212">
        <w:rPr>
          <w:rFonts w:ascii="Bookman Old Style" w:eastAsia="Times New Roman" w:hAnsi="Bookman Old Style" w:cs="Times New Roman"/>
          <w:noProof/>
          <w:color w:val="000000"/>
          <w:lang w:eastAsia="de-DE"/>
        </w:rPr>
        <w:t>Programi i praktikës të vitit të tretë duhet të përmirësohet që kontaktet e Shkollës me kandidatët e praktikës të jenë më aktive dhe më periodike. Kjo do të realizohet përmes takimeve dhe raportimeve mujore të kandidatëve me trupën pedagogjike apo Këshillin Pedagogjik. Gjatë këtij viti ata nuk do të ushtrojnë drejtpërdrejt funksionin e magjistratit por do të angazhohen pranë magjistratëve udhëheqës të caktuar për të ndjekur praktikën e tyre profesionale. Gjatë kësaj periudhe ata përfshihen sa më shumë të jetë e mundur në aspekte të punsës së përditshme të magjistratëve, me pjesëmarrjen në në seancat dëgjimore ose marrjen në pyetje, me përgatitjen dhe diskutimin e projekt vendimeve etj.</w:t>
      </w:r>
    </w:p>
    <w:p w:rsidR="00466D1F" w:rsidRPr="006753A3" w:rsidRDefault="006753A3" w:rsidP="006753A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8. </w:t>
      </w:r>
      <w:r w:rsidR="00466D1F" w:rsidRPr="006753A3">
        <w:rPr>
          <w:rFonts w:ascii="Bookman Old Style" w:eastAsia="Times New Roman" w:hAnsi="Bookman Old Style" w:cs="Times New Roman"/>
          <w:noProof/>
          <w:color w:val="000000"/>
          <w:lang w:eastAsia="de-DE"/>
        </w:rPr>
        <w:t>Detyrimi për ndjekjen e seminareve të Trajnimit Vazhdues nga kandidatët që ndjekin vitin e tretë të Shkollës, përmes një programi të specifikuar për ta, jo vetëm kundrejt zgjedhjes së temave të seminareve prej tyre, por edhe përzgjedhjes së temave të detyrueshme për t'u ndjekur nga Shkolla, meqënëse viti i tyre i praktikës aktive është jo vetëm një vit prove, por edhe një vit formimi;</w:t>
      </w:r>
    </w:p>
    <w:p w:rsidR="00466D1F" w:rsidRPr="006753A3" w:rsidRDefault="006753A3" w:rsidP="006753A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9. </w:t>
      </w:r>
      <w:r w:rsidR="00466D1F" w:rsidRPr="006753A3">
        <w:rPr>
          <w:rFonts w:ascii="Bookman Old Style" w:eastAsia="Times New Roman" w:hAnsi="Bookman Old Style" w:cs="Times New Roman"/>
          <w:noProof/>
          <w:color w:val="000000"/>
          <w:lang w:eastAsia="de-DE"/>
        </w:rPr>
        <w:t>Aktivizimi i trajnerëve në Shkollë qoftë për Trajnimin Fillestar, qoftë për Trajnimin Vazhdues, realizohet pasi konkurrohet me dokumentacion prej tyre, në përputhje me kërkesat e ligjit dhe rregulloren e Shkollës së Magjistraturës. Prioritet do të jetë përthithja e  pedagogëve të huaj, të spikatur në fushat me prioritet per Shkollën, nga Universitete të Evropës Perëndimore për të dhënë mësim në lëndë që gjykohen si më thelbësoret, apo aty ku ekspertët shqiptarë nuk janë të shumtë;</w:t>
      </w:r>
    </w:p>
    <w:p w:rsidR="00466D1F" w:rsidRPr="006753A3" w:rsidRDefault="006753A3" w:rsidP="006753A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10. </w:t>
      </w:r>
      <w:r w:rsidR="00466D1F" w:rsidRPr="006753A3">
        <w:rPr>
          <w:rFonts w:ascii="Bookman Old Style" w:eastAsia="Times New Roman" w:hAnsi="Bookman Old Style" w:cs="Times New Roman"/>
          <w:noProof/>
          <w:color w:val="000000"/>
          <w:lang w:eastAsia="de-DE"/>
        </w:rPr>
        <w:t>Hartimi i një programi për trajnim trajnerësh, jo vetëm për trajnerët ekzistues, por edhe për çdo trajner të ri, që futet rishtas në Shkollë, para se të fillojë nga puna, me qëllim unifikimin e metodave të mësimdhënies duke ruajtur parimet e pavarsisë akademike;</w:t>
      </w:r>
    </w:p>
    <w:p w:rsidR="00466D1F" w:rsidRPr="006753A3" w:rsidRDefault="006753A3" w:rsidP="006753A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11. </w:t>
      </w:r>
      <w:r w:rsidR="00466D1F" w:rsidRPr="006753A3">
        <w:rPr>
          <w:rFonts w:ascii="Bookman Old Style" w:eastAsia="Times New Roman" w:hAnsi="Bookman Old Style" w:cs="Times New Roman"/>
          <w:noProof/>
          <w:color w:val="000000"/>
          <w:lang w:eastAsia="de-DE"/>
        </w:rPr>
        <w:t xml:space="preserve">Shkolla do të vendosë në dispozicion materiale, artikuj, publikime, do të zhvillojë seminare dhe trajnime dhe do të angazhohet në trajnimin e trajnerëve në mënyrë që të plotësohen e pasurohen njohuritë për çështjet e mëposhtme: institucionet e Bashkimit Evropian dhe burimet ligjore të tij; marrëdhëniet e jashtme të BE-së dhe Planit Kombëtar të Integrimit Evropian, funksionet kryesore dhe përbërja e Gjykatës së Drejtësisë; mbrojtja e të drejtave themelore në sistemin ligjor të BE-së; njohja dhe ekzekutimi i vendimeve në vendet e BE-së; dhe e drejta e krijimit të shoqërive dhe profesioneve; </w:t>
      </w:r>
    </w:p>
    <w:p w:rsidR="00466D1F" w:rsidRPr="006753A3" w:rsidRDefault="006753A3" w:rsidP="006753A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12. </w:t>
      </w:r>
      <w:r w:rsidR="00466D1F" w:rsidRPr="006753A3">
        <w:rPr>
          <w:rFonts w:ascii="Bookman Old Style" w:eastAsia="Times New Roman" w:hAnsi="Bookman Old Style" w:cs="Times New Roman"/>
          <w:noProof/>
          <w:color w:val="000000"/>
          <w:lang w:eastAsia="de-DE"/>
        </w:rPr>
        <w:t>Gjatë kësaj periudhe, do të planifikojmë të identifikojmë nevojat për kursë të reja në fusha të tjera, paralelisht me forcimin e kurseve aktuale. Kurset mund të zhvillohen në lidhje me rritjen e njohurive të gjyqtarëve dhe prokurorëve per efekte e faktorë shoqërorë, në rritjen e përgjegjshmërisë sociale të gjyqtarëve dhe prokurorëve;</w:t>
      </w:r>
    </w:p>
    <w:p w:rsidR="00466D1F" w:rsidRPr="00E07B63" w:rsidRDefault="006753A3" w:rsidP="00E07B6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13. </w:t>
      </w:r>
      <w:r w:rsidR="00466D1F" w:rsidRPr="006753A3">
        <w:rPr>
          <w:rFonts w:ascii="Bookman Old Style" w:eastAsia="Times New Roman" w:hAnsi="Bookman Old Style" w:cs="Times New Roman"/>
          <w:noProof/>
          <w:color w:val="000000"/>
          <w:lang w:eastAsia="de-DE"/>
        </w:rPr>
        <w:t>Përsa i përket trajnimit praktik, prioriteti ynë është të garantojmë që të trajnuarit të arrijnë nivelin më të lartë të kompetencës në lidhje me natyrën e funksionit të tyre të ardhshem. Për këtë, Shkolla ka për qëllim ta drejtojë trajnimin drejt praktikave profesionale me qëllim që ti aftësojë magjistratët e ardhshëm në mënyrë që ata të kryejnë detyrat dhe të zhvillojnë aktivitetet profesionale;</w:t>
      </w:r>
    </w:p>
    <w:p w:rsidR="00466D1F" w:rsidRPr="00E07B63" w:rsidRDefault="00E07B63" w:rsidP="00E07B6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lastRenderedPageBreak/>
        <w:t xml:space="preserve">14. </w:t>
      </w:r>
      <w:r w:rsidR="00466D1F" w:rsidRPr="00E07B63">
        <w:rPr>
          <w:rFonts w:ascii="Bookman Old Style" w:eastAsia="Times New Roman" w:hAnsi="Bookman Old Style" w:cs="Times New Roman"/>
          <w:noProof/>
          <w:color w:val="000000"/>
          <w:lang w:eastAsia="de-DE"/>
        </w:rPr>
        <w:t>Përmirësimin e komunikimit ndërmjet kandidatëve për magjistratë të të tre viteve (si edhe të diplomuarve) dhe për këtë qëllim të krijohet një forum diskutimi nëpërmjet faqes sonë të Internetit në të cilin do të marrin pjesë të gjithë;</w:t>
      </w:r>
    </w:p>
    <w:p w:rsidR="00466D1F" w:rsidRDefault="00466D1F" w:rsidP="00466D1F">
      <w:pPr>
        <w:spacing w:after="0" w:line="240" w:lineRule="auto"/>
        <w:jc w:val="both"/>
        <w:rPr>
          <w:rFonts w:ascii="Bookman Old Style" w:hAnsi="Bookman Old Style" w:cs="Times New Roman"/>
          <w:lang w:val="pt-BR"/>
        </w:rPr>
      </w:pPr>
    </w:p>
    <w:p w:rsidR="00466D1F" w:rsidRPr="00E07B63" w:rsidRDefault="00E07B63" w:rsidP="00E07B6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15. </w:t>
      </w:r>
      <w:r w:rsidR="00466D1F" w:rsidRPr="00E07B63">
        <w:rPr>
          <w:rFonts w:ascii="Bookman Old Style" w:eastAsia="Times New Roman" w:hAnsi="Bookman Old Style" w:cs="Times New Roman"/>
          <w:noProof/>
          <w:color w:val="000000"/>
          <w:lang w:eastAsia="de-DE"/>
        </w:rPr>
        <w:t>Përmirësimin dhe zhvillimin e marrëdhënies me median, jo vetëm për të pasqyruar aktivitetet e Shkollës në funksion të parimit të transparencës dhe informimit, por edhe për të rritur interesin dhe për të forcuar besimin e publikut për Shkollën e Magjistraturës;</w:t>
      </w:r>
    </w:p>
    <w:p w:rsidR="00E07B63" w:rsidRDefault="00E07B63" w:rsidP="00E07B6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16. </w:t>
      </w:r>
      <w:r w:rsidR="00466D1F" w:rsidRPr="00E07B63">
        <w:rPr>
          <w:rFonts w:ascii="Bookman Old Style" w:eastAsia="Times New Roman" w:hAnsi="Bookman Old Style" w:cs="Times New Roman"/>
          <w:noProof/>
          <w:color w:val="000000"/>
          <w:lang w:eastAsia="de-DE"/>
        </w:rPr>
        <w:t>Duke njohur rëndësinë kyçe të bashkëpunimit me Këshillin e Lartë të Drejtësisë dhe me Prokurorinë e Përgjithshme, në përmbushjen e nevojave të gjyqtarëve dhe prokurorëve për Formimin Fillestar, ne do të bashkëpunojmë ngushtë me këto dy institucione duke i nxitur të formulojnë vlerësimet e tyre për nevojat e Formimit Fillestar. Në vazhdim të bashkëpunimit me KLD dhe Prokurorinë e Përgjithshme, do të përgatitet një studim, i cili të japë një analizë të hollësishme për të ardhmen, lidhur me dy drejtime:</w:t>
      </w:r>
    </w:p>
    <w:p w:rsidR="00E07B63" w:rsidRPr="00E07B63" w:rsidRDefault="00466D1F" w:rsidP="003C4BF1">
      <w:pPr>
        <w:pStyle w:val="ListParagraph"/>
        <w:numPr>
          <w:ilvl w:val="0"/>
          <w:numId w:val="21"/>
        </w:numPr>
        <w:tabs>
          <w:tab w:val="left" w:pos="270"/>
        </w:tabs>
        <w:spacing w:line="240" w:lineRule="auto"/>
        <w:jc w:val="both"/>
        <w:rPr>
          <w:rFonts w:ascii="Bookman Old Style" w:eastAsia="Times New Roman" w:hAnsi="Bookman Old Style" w:cs="Times New Roman"/>
          <w:noProof/>
          <w:color w:val="000000"/>
          <w:lang w:eastAsia="de-DE"/>
        </w:rPr>
      </w:pPr>
      <w:r w:rsidRPr="00E07B63">
        <w:rPr>
          <w:rFonts w:ascii="Bookman Old Style" w:eastAsia="Times New Roman" w:hAnsi="Bookman Old Style" w:cs="Times New Roman"/>
        </w:rPr>
        <w:t>s</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pari, lidhur me vendet vakante dhe nevojat e gjyq</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sorit dhe prokuroris</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p</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r gjyqtar</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e prokuror</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t</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rinj, p</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r t</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par</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se si do t</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riorganizohen gjykatat dhe strukturat e tyre, sa vet</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dalin n</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pension, sa tranferohen n</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fusha t</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tjera, sa shkarkohen, e t</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tjera dhe, </w:t>
      </w:r>
    </w:p>
    <w:p w:rsidR="00466D1F" w:rsidRPr="00E07B63" w:rsidRDefault="00466D1F" w:rsidP="003C4BF1">
      <w:pPr>
        <w:pStyle w:val="ListParagraph"/>
        <w:numPr>
          <w:ilvl w:val="0"/>
          <w:numId w:val="21"/>
        </w:numPr>
        <w:tabs>
          <w:tab w:val="left" w:pos="270"/>
        </w:tabs>
        <w:spacing w:line="240" w:lineRule="auto"/>
        <w:jc w:val="both"/>
        <w:rPr>
          <w:rFonts w:ascii="Bookman Old Style" w:eastAsia="Times New Roman" w:hAnsi="Bookman Old Style" w:cs="Times New Roman"/>
          <w:noProof/>
          <w:color w:val="000000"/>
          <w:lang w:eastAsia="de-DE"/>
        </w:rPr>
      </w:pPr>
      <w:r w:rsidRPr="00E07B63">
        <w:rPr>
          <w:rFonts w:ascii="Bookman Old Style" w:eastAsia="Times New Roman" w:hAnsi="Bookman Old Style" w:cs="Times New Roman"/>
        </w:rPr>
        <w:t>s</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dyti, lidhur me parashikimin dhe vler</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simin e kritereve praktike t</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rekrutimit t</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tyre, mb</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shtetur n</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eksperienc</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n e k</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tyre viteve, me q</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llim q</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t</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ecet me nje program t</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qart</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(meqen</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se varet shum</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shikimi strategjik i Shkoll</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s n</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var</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si t</w:t>
      </w:r>
      <w:r w:rsidRPr="00E07B63">
        <w:rPr>
          <w:rFonts w:ascii="Bookman Old Style" w:eastAsia="Times New Roman" w:hAnsi="Bookman Old Style" w:cs="Times New Roman"/>
          <w:lang w:val="it-IT"/>
        </w:rPr>
        <w:t>ë</w:t>
      </w:r>
      <w:r w:rsidRPr="00E07B63">
        <w:rPr>
          <w:rFonts w:ascii="Bookman Old Style" w:eastAsia="Times New Roman" w:hAnsi="Bookman Old Style" w:cs="Times New Roman"/>
        </w:rPr>
        <w:t xml:space="preserve"> faktit) n</w:t>
      </w:r>
      <w:r w:rsidRPr="00E07B63">
        <w:rPr>
          <w:rFonts w:ascii="Bookman Old Style" w:eastAsia="Times New Roman" w:hAnsi="Bookman Old Style" w:cs="Times New Roman"/>
          <w:lang w:val="en-US"/>
        </w:rPr>
        <w:t>ë</w:t>
      </w:r>
      <w:r w:rsidRPr="00E07B63">
        <w:rPr>
          <w:rFonts w:ascii="Bookman Old Style" w:eastAsia="Times New Roman" w:hAnsi="Bookman Old Style" w:cs="Times New Roman"/>
        </w:rPr>
        <w:t>se p</w:t>
      </w:r>
      <w:r w:rsidRPr="00E07B63">
        <w:rPr>
          <w:rFonts w:ascii="Bookman Old Style" w:eastAsia="Times New Roman" w:hAnsi="Bookman Old Style" w:cs="Times New Roman"/>
          <w:lang w:val="en-US"/>
        </w:rPr>
        <w:t>ë</w:t>
      </w:r>
      <w:r w:rsidRPr="00E07B63">
        <w:rPr>
          <w:rFonts w:ascii="Bookman Old Style" w:eastAsia="Times New Roman" w:hAnsi="Bookman Old Style" w:cs="Times New Roman"/>
        </w:rPr>
        <w:t>r nj</w:t>
      </w:r>
      <w:r w:rsidRPr="00E07B63">
        <w:rPr>
          <w:rFonts w:ascii="Bookman Old Style" w:eastAsia="Times New Roman" w:hAnsi="Bookman Old Style" w:cs="Times New Roman"/>
          <w:lang w:val="en-US"/>
        </w:rPr>
        <w:t>ë</w:t>
      </w:r>
      <w:r w:rsidRPr="00E07B63">
        <w:rPr>
          <w:rFonts w:ascii="Bookman Old Style" w:eastAsia="Times New Roman" w:hAnsi="Bookman Old Style" w:cs="Times New Roman"/>
        </w:rPr>
        <w:t xml:space="preserve"> periudh</w:t>
      </w:r>
      <w:r w:rsidRPr="00E07B63">
        <w:rPr>
          <w:rFonts w:ascii="Bookman Old Style" w:eastAsia="Times New Roman" w:hAnsi="Bookman Old Style" w:cs="Times New Roman"/>
          <w:lang w:val="en-US"/>
        </w:rPr>
        <w:t>ë</w:t>
      </w:r>
      <w:r w:rsidRPr="00E07B63">
        <w:rPr>
          <w:rFonts w:ascii="Bookman Old Style" w:eastAsia="Times New Roman" w:hAnsi="Bookman Old Style" w:cs="Times New Roman"/>
        </w:rPr>
        <w:t xml:space="preserve"> ajo do t</w:t>
      </w:r>
      <w:r w:rsidRPr="00E07B63">
        <w:rPr>
          <w:rFonts w:ascii="Bookman Old Style" w:eastAsia="Times New Roman" w:hAnsi="Bookman Old Style" w:cs="Times New Roman"/>
          <w:lang w:val="en-US"/>
        </w:rPr>
        <w:t>ë</w:t>
      </w:r>
      <w:r w:rsidRPr="00E07B63">
        <w:rPr>
          <w:rFonts w:ascii="Bookman Old Style" w:eastAsia="Times New Roman" w:hAnsi="Bookman Old Style" w:cs="Times New Roman"/>
        </w:rPr>
        <w:t xml:space="preserve"> p</w:t>
      </w:r>
      <w:r w:rsidRPr="00E07B63">
        <w:rPr>
          <w:rFonts w:ascii="Bookman Old Style" w:eastAsia="Times New Roman" w:hAnsi="Bookman Old Style" w:cs="Times New Roman"/>
          <w:lang w:val="en-US"/>
        </w:rPr>
        <w:t>ë</w:t>
      </w:r>
      <w:r w:rsidRPr="00E07B63">
        <w:rPr>
          <w:rFonts w:ascii="Bookman Old Style" w:eastAsia="Times New Roman" w:hAnsi="Bookman Old Style" w:cs="Times New Roman"/>
        </w:rPr>
        <w:t>rq</w:t>
      </w:r>
      <w:r w:rsidRPr="00E07B63">
        <w:rPr>
          <w:rFonts w:ascii="Bookman Old Style" w:eastAsia="Times New Roman" w:hAnsi="Bookman Old Style" w:cs="Times New Roman"/>
          <w:lang w:val="en-US"/>
        </w:rPr>
        <w:t>ë</w:t>
      </w:r>
      <w:r w:rsidRPr="00E07B63">
        <w:rPr>
          <w:rFonts w:ascii="Bookman Old Style" w:eastAsia="Times New Roman" w:hAnsi="Bookman Old Style" w:cs="Times New Roman"/>
        </w:rPr>
        <w:t>ndrohet tek Formimi Fillestar, apo do t</w:t>
      </w:r>
      <w:r w:rsidRPr="00E07B63">
        <w:rPr>
          <w:rFonts w:ascii="Bookman Old Style" w:eastAsia="Times New Roman" w:hAnsi="Bookman Old Style" w:cs="Times New Roman"/>
          <w:lang w:val="en-US"/>
        </w:rPr>
        <w:t>ë</w:t>
      </w:r>
      <w:r w:rsidRPr="00E07B63">
        <w:rPr>
          <w:rFonts w:ascii="Bookman Old Style" w:eastAsia="Times New Roman" w:hAnsi="Bookman Old Style" w:cs="Times New Roman"/>
        </w:rPr>
        <w:t xml:space="preserve"> p</w:t>
      </w:r>
      <w:r w:rsidRPr="00E07B63">
        <w:rPr>
          <w:rFonts w:ascii="Bookman Old Style" w:eastAsia="Times New Roman" w:hAnsi="Bookman Old Style" w:cs="Times New Roman"/>
          <w:lang w:val="en-US"/>
        </w:rPr>
        <w:t>ë</w:t>
      </w:r>
      <w:r w:rsidRPr="00E07B63">
        <w:rPr>
          <w:rFonts w:ascii="Bookman Old Style" w:eastAsia="Times New Roman" w:hAnsi="Bookman Old Style" w:cs="Times New Roman"/>
        </w:rPr>
        <w:t>rq</w:t>
      </w:r>
      <w:r w:rsidRPr="00E07B63">
        <w:rPr>
          <w:rFonts w:ascii="Bookman Old Style" w:eastAsia="Times New Roman" w:hAnsi="Bookman Old Style" w:cs="Times New Roman"/>
          <w:lang w:val="en-US"/>
        </w:rPr>
        <w:t>ë</w:t>
      </w:r>
      <w:r w:rsidRPr="00E07B63">
        <w:rPr>
          <w:rFonts w:ascii="Bookman Old Style" w:eastAsia="Times New Roman" w:hAnsi="Bookman Old Style" w:cs="Times New Roman"/>
        </w:rPr>
        <w:t xml:space="preserve">ndrohet tek Trajnimi </w:t>
      </w:r>
      <w:r w:rsidRPr="00E07B63">
        <w:rPr>
          <w:rFonts w:ascii="Bookman Old Style" w:eastAsia="Times New Roman" w:hAnsi="Bookman Old Style" w:cs="Times New Roman"/>
          <w:lang w:val="en-US"/>
        </w:rPr>
        <w:t>V</w:t>
      </w:r>
      <w:r w:rsidRPr="00E07B63">
        <w:rPr>
          <w:rFonts w:ascii="Bookman Old Style" w:eastAsia="Times New Roman" w:hAnsi="Bookman Old Style" w:cs="Times New Roman"/>
        </w:rPr>
        <w:t xml:space="preserve">azhdues dhe botimet e studimet; </w:t>
      </w:r>
    </w:p>
    <w:p w:rsidR="00466D1F" w:rsidRPr="00E07B63" w:rsidRDefault="00E07B63" w:rsidP="00E07B6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17. </w:t>
      </w:r>
      <w:r w:rsidR="00466D1F" w:rsidRPr="00E07B63">
        <w:rPr>
          <w:rFonts w:ascii="Bookman Old Style" w:eastAsia="Times New Roman" w:hAnsi="Bookman Old Style" w:cs="Times New Roman"/>
          <w:noProof/>
          <w:color w:val="000000"/>
          <w:lang w:eastAsia="de-DE"/>
        </w:rPr>
        <w:t>Do të rishikojmë çështje të ndryshme që lidhen me vlerësimin e kandiatëve për magjistratë, duke filluar me mënyrën e zhvillimit të konkursit të pranimit, duke u përpjekur që të bëjmë unifikimin e mënyrës së kontrollit të dijeve, me qëllim realizimin e një konkursi sa më të drejtë e të ndershëm, njësoj për të gjithë kandidatët. Për këtë qëllim, gjatë vitit 2016-2017 do të rishikohet dhe standartizohet Testi i shëndetit mendor dhe psikologjik, i cili është pjesë e procesit të rekrutimit të kandidatëve për magjistratë.</w:t>
      </w:r>
    </w:p>
    <w:p w:rsidR="00466D1F" w:rsidRPr="00E07B63" w:rsidRDefault="00E07B63" w:rsidP="00E07B6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18. </w:t>
      </w:r>
      <w:r w:rsidRPr="00E07B63">
        <w:rPr>
          <w:rFonts w:ascii="Bookman Old Style" w:eastAsia="Times New Roman" w:hAnsi="Bookman Old Style" w:cs="Times New Roman"/>
          <w:noProof/>
          <w:color w:val="000000"/>
          <w:lang w:eastAsia="de-DE"/>
        </w:rPr>
        <w:t>Pë</w:t>
      </w:r>
      <w:r w:rsidR="00466D1F" w:rsidRPr="00E07B63">
        <w:rPr>
          <w:rFonts w:ascii="Bookman Old Style" w:eastAsia="Times New Roman" w:hAnsi="Bookman Old Style" w:cs="Times New Roman"/>
          <w:noProof/>
          <w:color w:val="000000"/>
          <w:lang w:eastAsia="de-DE"/>
        </w:rPr>
        <w:t>r</w:t>
      </w:r>
      <w:r w:rsidR="00466D1F" w:rsidRPr="00D87341">
        <w:rPr>
          <w:rFonts w:ascii="Bookman Old Style" w:eastAsia="Times New Roman" w:hAnsi="Bookman Old Style" w:cs="Times New Roman"/>
          <w:noProof/>
          <w:color w:val="000000"/>
          <w:lang w:eastAsia="de-DE"/>
        </w:rPr>
        <w:t>gatitja e programit t</w:t>
      </w:r>
      <w:r w:rsidR="00466D1F">
        <w:rPr>
          <w:rFonts w:ascii="Bookman Old Style" w:eastAsia="Times New Roman" w:hAnsi="Bookman Old Style" w:cs="Times New Roman"/>
          <w:noProof/>
          <w:color w:val="000000"/>
          <w:lang w:eastAsia="de-DE"/>
        </w:rPr>
        <w:t>ë</w:t>
      </w:r>
      <w:r w:rsidR="00466D1F" w:rsidRPr="00D87341">
        <w:rPr>
          <w:rFonts w:ascii="Bookman Old Style" w:eastAsia="Times New Roman" w:hAnsi="Bookman Old Style" w:cs="Times New Roman"/>
          <w:noProof/>
          <w:color w:val="000000"/>
          <w:lang w:eastAsia="de-DE"/>
        </w:rPr>
        <w:t xml:space="preserve"> provimit përfundimtar në fund të ciklit tre vjecar të studimeve në SHM dhe realizimi i provimit perfundimtar p</w:t>
      </w:r>
      <w:r w:rsidR="00466D1F">
        <w:rPr>
          <w:rFonts w:ascii="Bookman Old Style" w:eastAsia="Times New Roman" w:hAnsi="Bookman Old Style" w:cs="Times New Roman"/>
          <w:noProof/>
          <w:color w:val="000000"/>
          <w:lang w:eastAsia="de-DE"/>
        </w:rPr>
        <w:t>ë</w:t>
      </w:r>
      <w:r w:rsidR="00466D1F" w:rsidRPr="00D87341">
        <w:rPr>
          <w:rFonts w:ascii="Bookman Old Style" w:eastAsia="Times New Roman" w:hAnsi="Bookman Old Style" w:cs="Times New Roman"/>
          <w:noProof/>
          <w:color w:val="000000"/>
          <w:lang w:eastAsia="de-DE"/>
        </w:rPr>
        <w:t>r ta b</w:t>
      </w:r>
      <w:r w:rsidR="00466D1F">
        <w:rPr>
          <w:rFonts w:ascii="Bookman Old Style" w:eastAsia="Times New Roman" w:hAnsi="Bookman Old Style" w:cs="Times New Roman"/>
          <w:noProof/>
          <w:color w:val="000000"/>
          <w:lang w:eastAsia="de-DE"/>
        </w:rPr>
        <w:t>ë</w:t>
      </w:r>
      <w:r w:rsidR="00466D1F" w:rsidRPr="00D87341">
        <w:rPr>
          <w:rFonts w:ascii="Bookman Old Style" w:eastAsia="Times New Roman" w:hAnsi="Bookman Old Style" w:cs="Times New Roman"/>
          <w:noProof/>
          <w:color w:val="000000"/>
          <w:lang w:eastAsia="de-DE"/>
        </w:rPr>
        <w:t>r</w:t>
      </w:r>
      <w:r w:rsidR="00466D1F">
        <w:rPr>
          <w:rFonts w:ascii="Bookman Old Style" w:eastAsia="Times New Roman" w:hAnsi="Bookman Old Style" w:cs="Times New Roman"/>
          <w:noProof/>
          <w:color w:val="000000"/>
          <w:lang w:eastAsia="de-DE"/>
        </w:rPr>
        <w:t>ë</w:t>
      </w:r>
      <w:r w:rsidR="00466D1F" w:rsidRPr="00E07B63">
        <w:rPr>
          <w:rFonts w:ascii="Bookman Old Style" w:eastAsia="Times New Roman" w:hAnsi="Bookman Old Style" w:cs="Times New Roman"/>
          <w:noProof/>
          <w:color w:val="000000"/>
          <w:lang w:eastAsia="de-DE"/>
        </w:rPr>
        <w:t xml:space="preserve"> vlerësimin përfundimtar, sa më të dobishëm dhe në funksion të klasifikimit të kandidatëve.</w:t>
      </w:r>
    </w:p>
    <w:p w:rsidR="00466D1F" w:rsidRPr="00E07B63" w:rsidRDefault="00E07B63" w:rsidP="00E07B6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19. </w:t>
      </w:r>
      <w:r w:rsidR="00466D1F" w:rsidRPr="00E07B63">
        <w:rPr>
          <w:rFonts w:ascii="Bookman Old Style" w:eastAsia="Times New Roman" w:hAnsi="Bookman Old Style" w:cs="Times New Roman"/>
          <w:noProof/>
          <w:color w:val="000000"/>
          <w:lang w:eastAsia="de-DE"/>
        </w:rPr>
        <w:t>Drejtimi i formimit në fushën e mprehjes së aftësive profesionale dhe etikës do të vazhdojë të mbetet i rëndësishëm</w:t>
      </w:r>
      <w:r w:rsidR="00466D1F">
        <w:rPr>
          <w:rFonts w:ascii="Bookman Old Style" w:hAnsi="Bookman Old Style" w:cs="Times New Roman"/>
          <w:lang w:val="en-GB"/>
        </w:rPr>
        <w:t>;</w:t>
      </w:r>
    </w:p>
    <w:p w:rsidR="00466D1F" w:rsidRPr="00E07B63" w:rsidRDefault="00E07B63" w:rsidP="00E07B6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20. </w:t>
      </w:r>
      <w:r w:rsidR="00466D1F" w:rsidRPr="00E07B63">
        <w:rPr>
          <w:rFonts w:ascii="Bookman Old Style" w:eastAsia="Times New Roman" w:hAnsi="Bookman Old Style" w:cs="Times New Roman"/>
          <w:noProof/>
          <w:color w:val="000000"/>
          <w:lang w:eastAsia="de-DE"/>
        </w:rPr>
        <w:t>Kontaktimi me ekspertët nga nivele akademike dhe nga praktika gjyqësore lidhur me përgatitjen e materialeve didaktike për kurset e reja që do ti shtohen programit mësimor për vitin e ardhshëm akademik;</w:t>
      </w:r>
    </w:p>
    <w:p w:rsidR="00466D1F" w:rsidRPr="00E07B63" w:rsidRDefault="00E07B63" w:rsidP="00E07B6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21. </w:t>
      </w:r>
      <w:r w:rsidR="00466D1F" w:rsidRPr="00E07B63">
        <w:rPr>
          <w:rFonts w:ascii="Bookman Old Style" w:eastAsia="Times New Roman" w:hAnsi="Bookman Old Style" w:cs="Times New Roman"/>
          <w:noProof/>
          <w:color w:val="000000"/>
          <w:lang w:eastAsia="de-DE"/>
        </w:rPr>
        <w:t>Shtimi i numrit të pedagogëve të brendshëm  për ndjekjen e prakikës mësimdhënëse të kandidatëve gjatë vitit të dytë dhe të tretë, por edhe për realizimin e programeve të reja akademike, si rrjedhojë e detyrimeve që sjell reforma në drejtësis.</w:t>
      </w:r>
    </w:p>
    <w:p w:rsidR="00466D1F" w:rsidRPr="00E07B63" w:rsidRDefault="00E07B63" w:rsidP="00E07B6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22. </w:t>
      </w:r>
      <w:r w:rsidR="00466D1F" w:rsidRPr="00E07B63">
        <w:rPr>
          <w:rFonts w:ascii="Bookman Old Style" w:eastAsia="Times New Roman" w:hAnsi="Bookman Old Style" w:cs="Times New Roman"/>
          <w:noProof/>
          <w:color w:val="000000"/>
          <w:lang w:eastAsia="de-DE"/>
        </w:rPr>
        <w:t>Vizita studimore për studentët e vitit të parë dhe të dytë që ndjekin programin e formimit fillestar në gjykatat e Strasburgut dhe Luksemburgut.</w:t>
      </w:r>
    </w:p>
    <w:p w:rsidR="00466D1F" w:rsidRPr="00E07B63" w:rsidRDefault="00E07B63" w:rsidP="00E07B6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lastRenderedPageBreak/>
        <w:t xml:space="preserve">23. </w:t>
      </w:r>
      <w:r w:rsidR="00466D1F" w:rsidRPr="00E07B63">
        <w:rPr>
          <w:rFonts w:ascii="Bookman Old Style" w:eastAsia="Times New Roman" w:hAnsi="Bookman Old Style" w:cs="Times New Roman"/>
          <w:noProof/>
          <w:color w:val="000000"/>
          <w:lang w:eastAsia="de-DE"/>
        </w:rPr>
        <w:t>Praktikë (intership) për kandidatët për magjistratë me rezultate të larta të vitit të tretë në gjykatat e vendeve te BE.</w:t>
      </w:r>
    </w:p>
    <w:p w:rsidR="00466D1F" w:rsidRPr="00E07B63" w:rsidRDefault="00E07B63" w:rsidP="00E07B6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24. </w:t>
      </w:r>
      <w:r w:rsidR="00466D1F" w:rsidRPr="00E07B63">
        <w:rPr>
          <w:rFonts w:ascii="Bookman Old Style" w:eastAsia="Times New Roman" w:hAnsi="Bookman Old Style" w:cs="Times New Roman"/>
          <w:noProof/>
          <w:color w:val="000000"/>
          <w:lang w:eastAsia="de-DE"/>
        </w:rPr>
        <w:t>Asistencë me profesorë /lektorë ndërkombëtarë në programin e formimit fillestar.</w:t>
      </w:r>
    </w:p>
    <w:p w:rsidR="00466D1F" w:rsidRPr="00E07B63" w:rsidRDefault="00E07B63" w:rsidP="00E07B63">
      <w:pPr>
        <w:tabs>
          <w:tab w:val="left" w:pos="270"/>
        </w:tabs>
        <w:spacing w:line="240" w:lineRule="auto"/>
        <w:ind w:left="270"/>
        <w:jc w:val="both"/>
        <w:rPr>
          <w:rFonts w:ascii="Bookman Old Style" w:eastAsia="Times New Roman" w:hAnsi="Bookman Old Style" w:cs="Times New Roman"/>
          <w:noProof/>
          <w:color w:val="000000"/>
          <w:lang w:eastAsia="de-DE"/>
        </w:rPr>
      </w:pPr>
      <w:r>
        <w:rPr>
          <w:rFonts w:ascii="Bookman Old Style" w:eastAsia="Times New Roman" w:hAnsi="Bookman Old Style" w:cs="Times New Roman"/>
          <w:noProof/>
          <w:color w:val="000000"/>
          <w:lang w:eastAsia="de-DE"/>
        </w:rPr>
        <w:t xml:space="preserve">25. </w:t>
      </w:r>
      <w:r w:rsidR="00466D1F" w:rsidRPr="00E07B63">
        <w:rPr>
          <w:rFonts w:ascii="Bookman Old Style" w:eastAsia="Times New Roman" w:hAnsi="Bookman Old Style" w:cs="Times New Roman"/>
          <w:noProof/>
          <w:color w:val="000000"/>
          <w:lang w:eastAsia="de-DE"/>
        </w:rPr>
        <w:t xml:space="preserve">Përmirësimi në vazhdimësi i punës kërkimore shkencore nëpërmjet Klinikës Ligjore dhe Kërkimore me qëllim ndërgjegjësimin e kandidatëve për magjistratë për çështje të tilla si motivimi, argumentimi, transparenca dhe shteti i së drejtës. Duke bërë punë kërkimore ligjore krahasimore të gjerë dhe veçanërisht për çështjet e të drejtave të njeriut që janë pezull përpara institucioneve të drejtësisë, brezi i ri i gjyqtarëve dhe prokurorëve do të prezantohet me një kulturë të re të argumentimit dhe motivimit ligjor. Për rrjedhojë, është e pritshme që kandidatët për magjistratë të fusin këtë kulturë në gjykatat dhe prokuroritë ku do të punojnë në të ardhmen. Krahas kësaj, kjo Klinikë do të ketë një impakt pozitiv në cilësinë – përsa i përket motivimit dhe argumentimit – e institucioneve kyç të sistemit gjyqësor në vendin tonë. Ky impakt pozitiv do të jetë rezultat jo vetëm i konsulencës që do të marrin institucionet nga kandidatët për magjistratë, por edhe nga trajnimi që do të kenë stafi mbështetës i këtyre institucioneve gjatë kohës së projektit. Ky kurs do të kontribuojë në konsolidimin e profilit të Shkollës si një institucion kyç në edukimin ligjor, që kombinon edukimin profesional me kërkimin akademik. </w:t>
      </w:r>
    </w:p>
    <w:p w:rsidR="00466D1F" w:rsidRPr="00E07B63" w:rsidRDefault="00E07B63" w:rsidP="00E07B63">
      <w:pPr>
        <w:jc w:val="both"/>
        <w:rPr>
          <w:rFonts w:ascii="Bookman Old Style" w:hAnsi="Bookman Old Style"/>
          <w:b/>
          <w:bCs/>
          <w:color w:val="372971" w:themeColor="accent5" w:themeShade="80"/>
          <w:sz w:val="24"/>
          <w:szCs w:val="24"/>
        </w:rPr>
      </w:pPr>
      <w:r w:rsidRPr="00D16212">
        <w:rPr>
          <w:rFonts w:ascii="Bookman Old Style" w:hAnsi="Bookman Old Style"/>
          <w:b/>
          <w:bCs/>
          <w:color w:val="372971" w:themeColor="accent5" w:themeShade="80"/>
          <w:sz w:val="24"/>
          <w:szCs w:val="24"/>
        </w:rPr>
        <w:t>7</w:t>
      </w:r>
      <w:r w:rsidR="00466D1F" w:rsidRPr="00D16212">
        <w:rPr>
          <w:rFonts w:ascii="Bookman Old Style" w:hAnsi="Bookman Old Style"/>
          <w:b/>
          <w:bCs/>
          <w:color w:val="372971" w:themeColor="accent5" w:themeShade="80"/>
          <w:sz w:val="24"/>
          <w:szCs w:val="24"/>
        </w:rPr>
        <w:t>.2 Trajnimi i Vazhduar</w:t>
      </w:r>
    </w:p>
    <w:p w:rsidR="00D16212" w:rsidRPr="00D16212" w:rsidRDefault="00D16212" w:rsidP="00D16212">
      <w:pPr>
        <w:jc w:val="both"/>
        <w:rPr>
          <w:rFonts w:ascii="Bookman Old Style" w:hAnsi="Bookman Old Style"/>
          <w:b/>
          <w:bCs/>
          <w:color w:val="372971" w:themeColor="accent5" w:themeShade="80"/>
          <w:sz w:val="24"/>
          <w:szCs w:val="24"/>
        </w:rPr>
      </w:pPr>
      <w:r w:rsidRPr="00D16212">
        <w:rPr>
          <w:rFonts w:ascii="Bookman Old Style" w:hAnsi="Bookman Old Style"/>
          <w:b/>
          <w:bCs/>
          <w:color w:val="372971" w:themeColor="accent5" w:themeShade="80"/>
          <w:sz w:val="24"/>
          <w:szCs w:val="24"/>
        </w:rPr>
        <w:t>Objektivat për -periudhën 2016-2017:</w:t>
      </w:r>
    </w:p>
    <w:p w:rsidR="00D16212" w:rsidRPr="00EE5CAC" w:rsidRDefault="00D16212" w:rsidP="00D16212">
      <w:pPr>
        <w:jc w:val="both"/>
        <w:rPr>
          <w:rFonts w:ascii="Bookman Old Style" w:eastAsia="Calibri" w:hAnsi="Bookman Old Style" w:cs="Calibri"/>
          <w:lang w:val="sq-AL"/>
        </w:rPr>
      </w:pPr>
      <w:r w:rsidRPr="00EE5CAC">
        <w:rPr>
          <w:rFonts w:ascii="Bookman Old Style" w:eastAsia="Calibri" w:hAnsi="Bookman Old Style" w:cs="Calibri"/>
          <w:lang w:val="sq-AL"/>
        </w:rPr>
        <w:t>Nisur nga fakti se viti akademik 2015-2016 shënoi fillimin e zbatimit të programit të formimit vazhdues 2015-2018, gjatë gjithë këtij viti ishte prioritet strukturimi dhe zbatimi i koordinuar i këtij programi të ri për gjyqtarë e prokurorë.</w:t>
      </w:r>
    </w:p>
    <w:p w:rsidR="00D16212" w:rsidRDefault="00D16212" w:rsidP="00D16212">
      <w:pPr>
        <w:jc w:val="both"/>
        <w:rPr>
          <w:rFonts w:ascii="Bookman Old Style" w:eastAsia="Calibri" w:hAnsi="Bookman Old Style" w:cs="Calibri"/>
          <w:bCs/>
          <w:lang w:val="sq-AL"/>
        </w:rPr>
      </w:pPr>
      <w:r w:rsidRPr="00EE5CAC">
        <w:rPr>
          <w:rFonts w:ascii="Bookman Old Style" w:eastAsia="Calibri" w:hAnsi="Bookman Old Style" w:cs="Calibri"/>
          <w:lang w:val="sq-AL"/>
        </w:rPr>
        <w:t xml:space="preserve">Kështu, lidhur me prioritetet </w:t>
      </w:r>
      <w:r w:rsidRPr="00EE5CAC">
        <w:rPr>
          <w:rFonts w:ascii="Bookman Old Style" w:eastAsia="Calibri" w:hAnsi="Bookman Old Style" w:cs="Calibri"/>
          <w:bCs/>
          <w:lang w:val="sq-AL"/>
        </w:rPr>
        <w:t>afatshkurtra dhe afatmesme të parashikuara në planin strategjik të Shkollës së Magjistraturës ky program u fokusua në:</w:t>
      </w:r>
    </w:p>
    <w:p w:rsidR="00D16212" w:rsidRPr="00D16212"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D16212">
        <w:rPr>
          <w:rFonts w:ascii="Bookman Old Style" w:eastAsia="Times New Roman" w:hAnsi="Bookman Old Style" w:cs="Times New Roman"/>
          <w:color w:val="000000"/>
          <w:lang w:val="sq-AL" w:eastAsia="en-GB"/>
        </w:rPr>
        <w:t xml:space="preserve">Përmirësimin e sistemit të mbajtjes së të dhënave lidhur me aspekte të ndryshme të komponentëve të Trajnimit Vazhdues të tilla si: listat e pjesëmarrësve, ditët e trajnimit mbi baza vjetore dhe 5 vjeçare, tematika, certifikimi, aplikimi on line etj. </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t xml:space="preserve">Përmirësimi vazhdues i metodologjisë së vlerësimit të nevojave për trajnim dhe përmirësimi i mjeteve dhe metodave të analizës; programimin mbi baza shkencore, organizimin dhe zhvillimin e sesioneve trajnuese të evidentuara nga vlerësimi i nevojave të marra drejtpërdrejt nga aktorët përfitues dhe nga institucionet që afektojnë në sistemin e drejtësisë përfshi këtu proceset e reformës në drejtësi dhe të atyre integruese në BE, etj. Këtu duhet të nënvizohet vendi dhe roli i partnerëve ndërkombëtare që ende japin një kontribut cilësor në komponentë të ndryshëm të Programit të Formimit Vazhdues. Programi i Formimit Vazhdues do të vazhdojë të ketë një përmbajtje tematike gjithëpërfshirëse. Kështu, edhe në vazhdim, seminaret që do të organizojmë, do të prekin të gjitha fushat e ligjit si: e drejta civile dhe e drejta procedurale civile me ndryshimet më të fundit në ligj, e drejta penale dhe e drejta procedurale penale me ndryshimet më të fundit në ligj, e drejta familjare dhe e drejta e të miturve, e drejta administrative, ku pritet që të vazhdohet me sete trajnimesh dedikuar gjyqtarëve të këtyre gjykatave të reja me gjyqtarët e emëruar në rreth e apel, shkrimi dhe arsyetimi ligjor, etika profesionale, e drejta e punës, e drejta tregtare, e drejta kushtetuese, e drejta evropiane, të drejtat e njeriut, e drejta ndërkombëtare private, kibernetika, barazia gjinore dhe mosdiskriminimi, e drejta e punës, e drejta familjare, e </w:t>
      </w:r>
      <w:r w:rsidRPr="00EE5CAC">
        <w:rPr>
          <w:rFonts w:ascii="Bookman Old Style" w:eastAsia="Times New Roman" w:hAnsi="Bookman Old Style" w:cs="Times New Roman"/>
          <w:color w:val="000000"/>
          <w:lang w:val="sq-AL" w:eastAsia="en-GB"/>
        </w:rPr>
        <w:lastRenderedPageBreak/>
        <w:t xml:space="preserve">drejta e falimentimit, e drejta bankare, e drejta ndërkombëtare publike, e drejta administrative, sistemi i drejtësisë për të miturit, etj. </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t xml:space="preserve">Përmirësimin e aspekteve të koordinimit të aktiviteteve trajnuese dhe zyrtarizimit të protokolleve dhe mënyrave të njoftimit të pjesëmarrësve nga ana e Shkollës dhe e konfirmimit të pjesëmarrjes ose mospjesëmarrjes, permes metodave on line. </w:t>
      </w:r>
    </w:p>
    <w:p w:rsidR="00D16212" w:rsidRPr="00EE5CAC" w:rsidRDefault="00D16212" w:rsidP="003C4BF1">
      <w:pPr>
        <w:numPr>
          <w:ilvl w:val="0"/>
          <w:numId w:val="29"/>
        </w:numPr>
        <w:spacing w:after="0" w:line="240" w:lineRule="auto"/>
        <w:ind w:left="360"/>
        <w:contextualSpacing/>
        <w:jc w:val="both"/>
        <w:rPr>
          <w:rFonts w:ascii="Bookman Old Style" w:eastAsia="MS Mincho" w:hAnsi="Bookman Old Style" w:cs="Calibri"/>
          <w:lang w:val="sq-AL"/>
        </w:rPr>
      </w:pPr>
      <w:r w:rsidRPr="00EE5CAC">
        <w:rPr>
          <w:rFonts w:ascii="Bookman Old Style" w:eastAsia="MS Mincho" w:hAnsi="Bookman Old Style" w:cs="Calibri"/>
          <w:lang w:val="sq-AL"/>
        </w:rPr>
        <w:t xml:space="preserve">Përmirësimin e metodave të trajnimit duke përfshirë mundësinë e trajnimit në distancë dhe e-learning, teknologjitë e reja në ndihmë të trajnimit, me qëllim rritjen e cilësisë së trajnimit dhe performancës së trajnerëve, etj. Tashmë, Shkolla është e mire orientuar dhe ka hyrë në një fazë të konsoliduar të aktivitetit trajnues duke: u mbështetur në programe trajnuese të detajuara dhe të miratuara paraprakisht, sikurse ka ndodhur edhe me programet e mëparshme të miratuara nga Këshilli Drejtues; kaadoptuar protokolle për koordinimin dhe metodologjinë e mësimdhënies, të përshtatshme për seminaret kjo edhe falë një sërë aktivitetesh të formatit të trajnimit të trajnerëve të organizuara në vazhdimësi; mbledhur materiale si p.sh: tekste ligjore; doktrina; jurisprudencë, një pjesë e të cilave bëhen edhe pjesë e modulit të çdo aktiviteti trajnues duke orientuar gjyqtarët dhe prokurorët në orientime doktrinarë e praktike; individualizuar dhe rinovuar një grup pedagogësh të zgjedhur në bazë të ekspertizës specifike të demonstruar në lidhje me lëndë të veçanta për seminaret nisur edhe sipas vlerësimeve të shprehura nga pjesëmarrësit. </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t xml:space="preserve">Përmirësimin e metodologjisë në Formimin Vazhdues, përmes trajnimit të trajnerëve në mënyrë të rregullt në fillim të çdo viti akademik, por edhe në vazhdimësi, të seleksionimit dhe të rivlerësimit të kritereve për përzgjedhjen e trajnuesve, duke i dhënë përparësi rritjes së përfshirjes së gjyqtarëve dhe prokurorëve, si edhe ndjekjes me kujdes të procesit për përgatitjen e kurrikulave dhe të moduleve të trajnimit prej trajnuesve. Për më tepër, do t’i jepet rëndësi kualifikimit të stafit të ekspertëve trajnues (ose pedagogjik) për seminare të cilat janë krejt të reja për nga tematika, ose të tilla që janë organizuar deri tani nga Shkolla, por pjesërisht janë mbështetur edhe nga ekspertë të ardhur prej partnerëve ndërkombëtarë. </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t>Realizimin e Programit të Formimit të Vazhduar, 2015-2018, nisur edhe nga nevojat që vijnë si nga ndryshimet e legjislacionit si dhe nga praktika e përditshme e punës së gjyqtarëve dhe prokurorëve. Kjo do të thotë kurse me të shpeshta për tema të interesit më të gjerë; kurse të niveleve të caktuara për më tepër gjyqtarë dhe prokurorë; dhe kurse në fusha të reja dhe unifikim i tematikës së Formimit Vazhdues. Ndërmjet të tjerash, kurset që janë dhënë dhe që do të vazhdojnë të jepen nuk do të bëhen rutinë, por do të përmirësohen vazhdimisht, të bazuar në opinionet e pjesëmarrësve, këshillat e miqve tanë ndërkombëtarë dhe, sigurisht, në përfundimet dhe sugjerimet e stafit tonë pedagogjik.</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t>Përfshirjen në trajnimet e profesioneve gjyqësore edhe të njohurive teknike që lidhen me: informatika ligjore, krimi kompjuterik, administrimin e çështjeve dhe gjykatave, teknikat e administrimit të gjyqit, teknikat e hetimit, teknikat e mbledhjes së provave, teknikat e pyetjes së dëshmitarëve me vëmendje të veçantë për dëshmitarët e dobët si të miturit dhe viktimat e krimit, teknikat e ekspertizës gjyqësore, teknikat e dëgjimit, barazia gjinore dhe mosdiskriminimi, etj.</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lang w:val="sq-AL" w:eastAsia="en-GB"/>
        </w:rPr>
      </w:pPr>
      <w:r w:rsidRPr="00EE5CAC">
        <w:rPr>
          <w:rFonts w:ascii="Bookman Old Style" w:eastAsia="Times New Roman" w:hAnsi="Bookman Old Style" w:cs="Times New Roman"/>
          <w:color w:val="000000"/>
          <w:lang w:val="sq-AL" w:eastAsia="en-GB"/>
        </w:rPr>
        <w:t xml:space="preserve">Aftësimin e gjyqtarëve dhe prokurorëve në detyrë, në lidhje me implementimin e rregullave kombëtare dhe ndërkombëtare dhe parimet për të drejtën e shtetasve për një gjykim të drejtë e të shpejtë, të drejtën e mbrojtjes dhe të barazisë në gjyq, të drejtën për t’u gjykuar nga një gjyqtar i paanshëm. Në këtë pikëpamje, qëllimi ynë do të jetë vazhdimi, si më parë, i trajnimit të gjyqtarëve e prokurorëve në lidhje me çështje të Konventës Evropiane për të Drejtat e Njeriut dhe Etikës Profesionale të Gjyqësorit dhe në të njëjtën kohë, zhvillimin e trajnimeve të reja për aksesin në drejtësi dhe për një </w:t>
      </w:r>
      <w:r w:rsidRPr="00EE5CAC">
        <w:rPr>
          <w:rFonts w:ascii="Bookman Old Style" w:eastAsia="Times New Roman" w:hAnsi="Bookman Old Style" w:cs="Times New Roman"/>
          <w:lang w:val="sq-AL" w:eastAsia="en-GB"/>
        </w:rPr>
        <w:t>lidhje më të drejtpërdrejtë të gjyqtarëve dhe prokurorëve me tema të fokusuara mbi çështje të kontekstit social.</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lastRenderedPageBreak/>
        <w:t xml:space="preserve">Përsëri do të mbetet prioritet azhurnimi dhe pasurimi i programeve, duke marrë në konsideratë nxitjen që vjen nga jeta shkencore. Trajnimi i gjyqtarëve dhe prokurorëve, i ofruar nga Shkolla, do të investigojë marrëdhëniet ndërmjet të drejtës dhe shkencës, të drejtës dhe filozofisë, të drejtës dhe logjikës, të drejtës dhe psikologjisë dhe të drejtës dhe ekonomisë. Kjo, me qëllim që ligji të jetë në funksion të shoqërisë. </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t>Identifikimin nga pikëpamja sasiore e numrit të gjyqtarëve dhe prokurorëve që do të trajnohen lidhur me legjislacionin dhe standardet e BE-së dhe praktikën ndërkombëtare. Në këtë vështrim, do të studiohet një orientim i tematikës mbi bazë nivelesh dhe duke studiuar realitetin dhe perspektivën e përçimit të këtyre standardeve.</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t xml:space="preserve">Shkolla do të tregojë vëmendje në vazhdimësi për rritjen e kapaciteteve të trajnerëve lokalë të ardhur nga radhët e gjyqtarëve dhe prokurorëve; do të kujdeset në vazhdimësi për evidentimin e trajnerëve të rinj dhe trajnimin e tyre në vazhdimësi, si dhe do të mbajë në vëmendje gjithashtu, për vendosjen e marrëdhënieve të drejta ndërmjet trajnerëve lokalë dhe atyre ndërkombëtare. </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t>Shkolla do të vazhdojë t’i dedikojë një vëmendje të veçantë, trajnimit të kryetarëve të gjykatave dhe drejtuesve të prokurorive, duke pasur parasysh se puna e tyre presupozon aftësi gjyqësore dhe gjithashtu administruese. Në një afat të shkurtër, ne do të vazhdojmë të zhvillojmë më tej trajnimet për kryetarët e gjykatave në lidhje me: kuadrin ligjor që rregullon statusin, rolin dhe përgjegjësitë e tyre; planifikimin dhe administrimin e zyrave në lidhje me implementimin e reformave administrative dhe gjyqësore; menaxhimin e burimeve njerëzore; kontabilitetin; politikat buxhetore; dhe vlerësimin profesional të gjyqtarëve. Disa sesione trajnuese do të jenë të përbashkëta me kancelarët, përderisa ne shohim detyra dhe përgjegjësi të përbashkëta në lidhje me administrimin e gjykatës. Në të njëjtën mënyrë do të zhvillohen edhe sesione trajnimi specifike të dedikuara prokurorëve të rretheve në fushën e administrimit të prokurorive.</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t xml:space="preserve">Shkolla do të kujdeset të orientojë trajnimin e gjyqtarëve dhe prokurorëve edhe me legjislacionin rajonal, me të cilin marrëdhëniet juridiksionale janë më të spikatura. Kështu, do të bëhet orientimi i të gjithë tematikës, për nga nivelet e marrëdhënieve dhe të ndërvarësisë të legjislacionit shqiptar me atë të shteteve të tjera dhe të BE-së; </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t xml:space="preserve">Nxitjen e gjyqtarëve dhe prokurorëve për përdorimin e teknologjisë ekzistuese dhe në zhvillim. Shkolla ka faqen e saj të internetit, në të cilën do të paraqiten informacione të ndryshme, që i vijnë në ndihmë çdo përdoruesi duke futur informacion në lidhje me kurset e ardhshme, në mënyrë që të ketë më tepër pjesëmarrje; futjen e materialeve ligjore si: leksione, jurisprudencë të mbledhur nga seminaret, në mënyrë që njohuritë e trajnimit të përhapen në të gjithë vendin; rritjen e pjesëmarrjes në forumet e diskutimit. Do të jemi vazhdimisht të azhurnuar me ndryshimet në teknologji dhe do të kërkojmë që të përfitojmë plotësisht nga burimet e disponueshme të Internetit. Ndër të tjera, kjo do të përfshijë zhvillimin e mëtejshëm të faqes së Internetit në përfitim të gjyqtarëve dhe prokurorëve në detyrë, duke zhvilluar dhe stimuluar përdorimin e forumit të diskutimit në Internet dhe përhapjen e informacionit ligjor me anë të komunikimit online në Internet me ta. Ne do të vazhdojmë t’i kushtojmë vëmendje përmirësimit të faqes së Internetit të Shkollës për ta bërë sa më të dobishme që të mundemi, ndërmjet të tjera duke: futur informacion në lidhje me kurset e ardhshme, në mënyrë që të ketë më tepër pjesëmarrje; me futjen e materialeve ligjore si leksione jurisprudencë të mbledhur nga seminaret, në mënyrë që njohuritë e trajnimit të përhapen në të gjithë vendin. </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t>Angazhimi ynë ka konsistuar edhe në vendosjen e pikave të kontaktit me Gjykatat dhe Prokuroritë në rreth dhe apel, me qëllim koordinimin e aktiviteteve duke siguruar komunikim të drejtpërdrejtë dhe në kohë reale. Ky angazhim do të mbetet prioritet i Shkollës edhe për të ardhmen.</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lastRenderedPageBreak/>
        <w:t>Shkolla do të kujdeset për rritjen e disiplinës dhe të pjesëmarrjes në seminare nga ana e pjesëmarrësve dhe do të rrisë shkallën e bashkëpunimit me KLD dhe Prokurorin e Përgjithshëm edhe për këtë problem.</w:t>
      </w:r>
    </w:p>
    <w:p w:rsidR="00D16212" w:rsidRPr="00EE5CAC" w:rsidRDefault="00D16212" w:rsidP="003C4BF1">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t xml:space="preserve">Organizimi i trajnimeve specifike për gjyqtarët, prokurorët dhe avokatët e shtetit për zbatimin e ligjit për gjykatat administrative. </w:t>
      </w:r>
    </w:p>
    <w:p w:rsidR="00201C85" w:rsidRPr="009C5D9C" w:rsidRDefault="00D16212" w:rsidP="00D16212">
      <w:pPr>
        <w:numPr>
          <w:ilvl w:val="0"/>
          <w:numId w:val="29"/>
        </w:numPr>
        <w:autoSpaceDE w:val="0"/>
        <w:autoSpaceDN w:val="0"/>
        <w:adjustRightInd w:val="0"/>
        <w:spacing w:after="0" w:line="240" w:lineRule="auto"/>
        <w:ind w:left="360"/>
        <w:contextualSpacing/>
        <w:jc w:val="both"/>
        <w:rPr>
          <w:rFonts w:ascii="Bookman Old Style" w:eastAsia="Times New Roman" w:hAnsi="Bookman Old Style" w:cs="Times New Roman"/>
          <w:color w:val="000000"/>
          <w:lang w:val="sq-AL" w:eastAsia="en-GB"/>
        </w:rPr>
      </w:pPr>
      <w:r w:rsidRPr="00EE5CAC">
        <w:rPr>
          <w:rFonts w:ascii="Bookman Old Style" w:eastAsia="Times New Roman" w:hAnsi="Bookman Old Style" w:cs="Times New Roman"/>
          <w:color w:val="000000"/>
          <w:lang w:val="sq-AL" w:eastAsia="en-GB"/>
        </w:rPr>
        <w:t>Identifikimi i nevojave për kurse të reja në fusha të tjera paralelisht me kurset ekzistuese për të rritur aftësitë gjyqësore mbi efektet e faktorëve shoqërorë në rritjen e përgjegjësisë sociale të gjyqtarëve dhe prokurorëve, për shembull, në fushën e logjikës dhe psikologjisë gjyqësore, e të tjera.</w:t>
      </w:r>
    </w:p>
    <w:p w:rsidR="00201C85" w:rsidRPr="00D16212" w:rsidRDefault="00201C85" w:rsidP="00D16212">
      <w:pPr>
        <w:autoSpaceDE w:val="0"/>
        <w:autoSpaceDN w:val="0"/>
        <w:adjustRightInd w:val="0"/>
        <w:spacing w:after="0" w:line="240" w:lineRule="auto"/>
        <w:contextualSpacing/>
        <w:jc w:val="both"/>
        <w:rPr>
          <w:rFonts w:ascii="Bookman Old Style" w:eastAsia="Times New Roman" w:hAnsi="Bookman Old Style" w:cs="Times New Roman"/>
          <w:color w:val="000000"/>
          <w:lang w:val="sq-AL" w:eastAsia="en-GB"/>
        </w:rPr>
      </w:pPr>
    </w:p>
    <w:p w:rsidR="00466D1F" w:rsidRPr="00E07B63" w:rsidRDefault="00E07B63" w:rsidP="00E07B63">
      <w:pPr>
        <w:jc w:val="both"/>
        <w:rPr>
          <w:rFonts w:ascii="Bookman Old Style" w:hAnsi="Bookman Old Style"/>
          <w:b/>
          <w:bCs/>
          <w:color w:val="372971" w:themeColor="accent5" w:themeShade="80"/>
          <w:sz w:val="24"/>
          <w:szCs w:val="24"/>
        </w:rPr>
      </w:pPr>
      <w:r>
        <w:rPr>
          <w:rFonts w:ascii="Bookman Old Style" w:hAnsi="Bookman Old Style"/>
          <w:b/>
          <w:bCs/>
          <w:color w:val="372971" w:themeColor="accent5" w:themeShade="80"/>
          <w:sz w:val="24"/>
          <w:szCs w:val="24"/>
        </w:rPr>
        <w:t>7</w:t>
      </w:r>
      <w:r w:rsidR="00466D1F" w:rsidRPr="00E07B63">
        <w:rPr>
          <w:rFonts w:ascii="Bookman Old Style" w:hAnsi="Bookman Old Style"/>
          <w:b/>
          <w:bCs/>
          <w:color w:val="372971" w:themeColor="accent5" w:themeShade="80"/>
          <w:sz w:val="24"/>
          <w:szCs w:val="24"/>
        </w:rPr>
        <w:t xml:space="preserve">.3 Publikimet dhe Puna kërkimore - shkencore </w:t>
      </w:r>
    </w:p>
    <w:p w:rsidR="00466D1F" w:rsidRPr="00E07B63" w:rsidRDefault="00466D1F" w:rsidP="00E07B63">
      <w:pPr>
        <w:jc w:val="both"/>
        <w:rPr>
          <w:rFonts w:ascii="Bookman Old Style" w:hAnsi="Bookman Old Style"/>
          <w:b/>
          <w:bCs/>
          <w:color w:val="372971" w:themeColor="accent5" w:themeShade="80"/>
          <w:sz w:val="24"/>
          <w:szCs w:val="24"/>
        </w:rPr>
      </w:pPr>
      <w:r w:rsidRPr="00E07B63">
        <w:rPr>
          <w:rFonts w:ascii="Bookman Old Style" w:hAnsi="Bookman Old Style"/>
          <w:b/>
          <w:bCs/>
          <w:color w:val="372971" w:themeColor="accent5" w:themeShade="80"/>
          <w:sz w:val="24"/>
          <w:szCs w:val="24"/>
        </w:rPr>
        <w:t>Objektivat për periudhën 2016-2017:</w:t>
      </w:r>
    </w:p>
    <w:p w:rsidR="00466D1F" w:rsidRPr="00F02DA5" w:rsidRDefault="00466D1F" w:rsidP="00466D1F">
      <w:pPr>
        <w:jc w:val="both"/>
        <w:rPr>
          <w:rFonts w:ascii="Bookman Old Style" w:hAnsi="Bookman Old Style" w:cs="Times New Roman"/>
          <w:lang w:val="it-IT"/>
        </w:rPr>
      </w:pPr>
      <w:r w:rsidRPr="00F02DA5">
        <w:rPr>
          <w:rFonts w:ascii="Bookman Old Style" w:hAnsi="Bookman Old Style" w:cs="Times New Roman"/>
          <w:lang w:val="it-IT"/>
        </w:rPr>
        <w:t>Publikimet dhe puna kërkimore, konsiderohen “çelës suksesi” jo vetëm në formimin e magjistratëve të rinj, por edhe në shumë profesione dhe çështje të tjera akademike. Duam të theksojmë, se nuk synojmë t’i bëjmë këto fusha botimi monopol, edhe pse e mendojmë kërkimin shkencor dhe publikimin si pika kyçe të veprimtarisë dhe prioriteteve të Shkollës.</w:t>
      </w:r>
    </w:p>
    <w:p w:rsidR="00466D1F" w:rsidRPr="00F02DA5" w:rsidRDefault="00466D1F" w:rsidP="00466D1F">
      <w:pPr>
        <w:jc w:val="both"/>
        <w:rPr>
          <w:rFonts w:ascii="Bookman Old Style" w:hAnsi="Bookman Old Style" w:cs="Times New Roman"/>
          <w:lang w:val="it-IT"/>
        </w:rPr>
      </w:pPr>
      <w:r w:rsidRPr="00F02DA5">
        <w:rPr>
          <w:rFonts w:ascii="Bookman Old Style" w:hAnsi="Bookman Old Style" w:cs="Times New Roman"/>
          <w:lang w:val="it-IT"/>
        </w:rPr>
        <w:t>Ne do të punojmë, hap pas hapi, me kapacitetet e vendit në fushën e së drejtës, shoqatat dhe institucionet e tjera ose individët. Duke punuar së bashku me të gjitha palët e interesuara, ne mund të fillojmë të bëjmë një ndryshim në mentalitetin shqiptar dhe në të shkruarin, lexuarin dhe kërkimin në fushën ligjore.</w:t>
      </w:r>
    </w:p>
    <w:p w:rsidR="00466D1F" w:rsidRPr="00F02DA5" w:rsidRDefault="00466D1F" w:rsidP="00466D1F">
      <w:pPr>
        <w:jc w:val="both"/>
        <w:rPr>
          <w:rFonts w:ascii="Bookman Old Style" w:hAnsi="Bookman Old Style" w:cs="Times New Roman"/>
          <w:lang w:val="it-IT"/>
        </w:rPr>
      </w:pPr>
      <w:r w:rsidRPr="00F02DA5">
        <w:rPr>
          <w:rFonts w:ascii="Bookman Old Style" w:hAnsi="Bookman Old Style" w:cs="Times New Roman"/>
          <w:lang w:val="it-IT"/>
        </w:rPr>
        <w:t>Në vijim rendisim prioritetet ligjore dhe strategjike të lidhura me programin e studimeve, kërkimin shkencor dhe publikimeve.</w:t>
      </w:r>
    </w:p>
    <w:p w:rsidR="00466D1F" w:rsidRPr="00F02DA5" w:rsidRDefault="00466D1F" w:rsidP="00466D1F">
      <w:pPr>
        <w:jc w:val="both"/>
        <w:rPr>
          <w:rFonts w:ascii="Bookman Old Style" w:hAnsi="Bookman Old Style" w:cs="Times New Roman"/>
          <w:bCs/>
          <w:lang w:val="it-IT"/>
        </w:rPr>
      </w:pPr>
      <w:r w:rsidRPr="00F02DA5">
        <w:rPr>
          <w:rFonts w:ascii="Bookman Old Style" w:hAnsi="Bookman Old Style" w:cs="Times New Roman"/>
          <w:lang w:val="it-IT"/>
        </w:rPr>
        <w:t xml:space="preserve">Kështu, gjatë periudhës 2015-2018, lidhur me prioritetet </w:t>
      </w:r>
      <w:r w:rsidRPr="00F02DA5">
        <w:rPr>
          <w:rFonts w:ascii="Bookman Old Style" w:hAnsi="Bookman Old Style" w:cs="Times New Roman"/>
          <w:bCs/>
          <w:lang w:val="it-IT"/>
        </w:rPr>
        <w:t>afatshkurtra dhe afatmesme të parashikuara në planin strategjik të Shkollës së Magjistraturës ky program do të fokusohet në:</w:t>
      </w:r>
    </w:p>
    <w:p w:rsidR="00466D1F" w:rsidRPr="00F02DA5" w:rsidRDefault="00466D1F" w:rsidP="00466D1F">
      <w:pPr>
        <w:jc w:val="both"/>
        <w:rPr>
          <w:rFonts w:ascii="Bookman Old Style" w:hAnsi="Bookman Old Style" w:cs="Times New Roman"/>
          <w:lang w:val="it-IT"/>
        </w:rPr>
      </w:pPr>
      <w:r w:rsidRPr="00F02DA5">
        <w:rPr>
          <w:rFonts w:ascii="Bookman Old Style" w:hAnsi="Bookman Old Style" w:cs="Times New Roman"/>
          <w:lang w:val="it-IT"/>
        </w:rPr>
        <w:t>1. Shkolla do të vazhdojë të publikojë revistën “Jeta Juridike” me tre numra në vit dhe të ndërmarrë hapa për ta përmirësuar atë duke nxitur juristët me përvojë (jo vetëm gjyqtarë dhe prokurorë) për të dhënë kontributin e tyre;</w:t>
      </w:r>
    </w:p>
    <w:p w:rsidR="00466D1F" w:rsidRPr="00F02DA5" w:rsidRDefault="00466D1F" w:rsidP="00466D1F">
      <w:pPr>
        <w:jc w:val="both"/>
        <w:rPr>
          <w:rFonts w:ascii="Bookman Old Style" w:hAnsi="Bookman Old Style" w:cs="Times New Roman"/>
          <w:lang w:val="it-IT"/>
        </w:rPr>
      </w:pPr>
      <w:r w:rsidRPr="00F02DA5">
        <w:rPr>
          <w:rFonts w:ascii="Bookman Old Style" w:hAnsi="Bookman Old Style" w:cs="Times New Roman"/>
          <w:lang w:val="it-IT"/>
        </w:rPr>
        <w:t>2. Po ashtu, do të vazhdojë botimin e revistës “Magjistrati” me botime të temave të kandidatëve për magjistratë të vitit të dytë;</w:t>
      </w:r>
    </w:p>
    <w:p w:rsidR="00466D1F" w:rsidRPr="00F02DA5" w:rsidRDefault="00466D1F" w:rsidP="00466D1F">
      <w:pPr>
        <w:jc w:val="both"/>
        <w:rPr>
          <w:rFonts w:ascii="Bookman Old Style" w:hAnsi="Bookman Old Style" w:cs="Times New Roman"/>
        </w:rPr>
      </w:pPr>
      <w:r w:rsidRPr="00F02DA5">
        <w:rPr>
          <w:rFonts w:ascii="Bookman Old Style" w:hAnsi="Bookman Old Style" w:cs="Times New Roman"/>
        </w:rPr>
        <w:t>3. Përfshirja e gjyqtarëve dhe prokurorëve në fushën e publikimeve dhe forcimi i punës kërkimore shkencore;</w:t>
      </w:r>
    </w:p>
    <w:p w:rsidR="00466D1F" w:rsidRPr="00F02DA5" w:rsidRDefault="00466D1F" w:rsidP="00466D1F">
      <w:pPr>
        <w:jc w:val="both"/>
        <w:rPr>
          <w:rFonts w:ascii="Bookman Old Style" w:hAnsi="Bookman Old Style" w:cs="Times New Roman"/>
          <w:lang w:val="it-IT"/>
        </w:rPr>
      </w:pPr>
      <w:r w:rsidRPr="00F02DA5">
        <w:rPr>
          <w:rFonts w:ascii="Bookman Old Style" w:hAnsi="Bookman Old Style" w:cs="Times New Roman"/>
          <w:lang w:val="it-IT"/>
        </w:rPr>
        <w:t>4. Shkolla e Magjistraturës do të botojë, nën emrin dhe kujdesin e saj, tekstet dhe librat të cilët trajtojnë probleme ligjore të lidhura ngushtë me programet e lëndëve dhe kurseve të Trajnimit Fillestar e Vazhdues të gjyqtarëve dhe prokurorëve, duke synuar në unifikimin dhe analizimin e praktikës gjyqësore dhe juridike kombëtare dhe ndërkombëtare. Botimi i teksteve dhe librave shkencorë do të bëhet duke vijuar me proçedurën e miratimit me Bord Editorial dhe me dy recenca. Tekstet me karakter publicistik, historik dhe tërësisht teorikë, të pailustruar me praktikë gjyqësore nuk janë në objektin dhe qëllimin e botimeve të Shkollës;</w:t>
      </w:r>
    </w:p>
    <w:p w:rsidR="00466D1F" w:rsidRPr="00F02DA5" w:rsidRDefault="00466D1F" w:rsidP="00466D1F">
      <w:pPr>
        <w:jc w:val="both"/>
        <w:rPr>
          <w:rFonts w:ascii="Bookman Old Style" w:hAnsi="Bookman Old Style" w:cs="Times New Roman"/>
          <w:lang w:val="it-IT"/>
        </w:rPr>
      </w:pPr>
      <w:r w:rsidRPr="00F02DA5">
        <w:rPr>
          <w:rFonts w:ascii="Bookman Old Style" w:hAnsi="Bookman Old Style" w:cs="Times New Roman"/>
          <w:lang w:val="it-IT"/>
        </w:rPr>
        <w:lastRenderedPageBreak/>
        <w:t>5. Përditësimi i rregullores së Botimeve dhe Revistës “Jeta Juridike”, me qëllim rritjen e cilësisë së këtyre botimeve;</w:t>
      </w:r>
    </w:p>
    <w:p w:rsidR="00466D1F" w:rsidRPr="00F02DA5" w:rsidRDefault="00466D1F" w:rsidP="00466D1F">
      <w:pPr>
        <w:jc w:val="both"/>
        <w:rPr>
          <w:rFonts w:ascii="Bookman Old Style" w:hAnsi="Bookman Old Style" w:cs="Times New Roman"/>
          <w:lang w:val="it-IT"/>
        </w:rPr>
      </w:pPr>
      <w:r w:rsidRPr="00F02DA5">
        <w:rPr>
          <w:rFonts w:ascii="Bookman Old Style" w:hAnsi="Bookman Old Style" w:cs="Times New Roman"/>
          <w:lang w:val="it-IT"/>
        </w:rPr>
        <w:t xml:space="preserve">6. Një prioritet mbetet dhe rishikimi i teksteve ligjore ekzistuese dhe bërja e një plani për botimin e leksioneve, manualeve, përgatitjen e teksteve më thelbësore që mungojnë, azhornimin e atyre që ekzistojnë dhe krijimin e një liste të teksteve të huaja që konsiderohen të dobishme. </w:t>
      </w:r>
      <w:r w:rsidRPr="00F02DA5">
        <w:rPr>
          <w:rFonts w:ascii="Bookman Old Style" w:hAnsi="Bookman Old Style" w:cs="Times New Roman"/>
          <w:lang w:val="en-GB"/>
        </w:rPr>
        <w:t xml:space="preserve">Përgatitja e librave, manualeve, kurseve dhe moduleve për lëndë, apo tema që trajtohen në proçesin e Formimit Fillestar të magjistratëve. Motivimi dhe trajnimi i kandidatëve për magjistratë për të hulumtuar dhe shkruar esse e tema me qëllim botimin e punimeve më të mira ose të pjesëve të tyre. </w:t>
      </w:r>
      <w:r w:rsidRPr="00F02DA5">
        <w:rPr>
          <w:rFonts w:ascii="Bookman Old Style" w:hAnsi="Bookman Old Style" w:cs="Times New Roman"/>
          <w:lang w:val="it-IT"/>
        </w:rPr>
        <w:t>Pjesë e rëndësishme e aktivitetit të Departamentit të Botimeve do të jetë edhe botimi i temave të trajtuara në kuadër të Programit të Formimit Vazhdues;</w:t>
      </w:r>
    </w:p>
    <w:p w:rsidR="00466D1F" w:rsidRPr="00F02DA5" w:rsidRDefault="00466D1F" w:rsidP="00466D1F">
      <w:pPr>
        <w:tabs>
          <w:tab w:val="left" w:pos="900"/>
          <w:tab w:val="left" w:pos="1080"/>
        </w:tabs>
        <w:spacing w:line="240" w:lineRule="auto"/>
        <w:jc w:val="both"/>
        <w:rPr>
          <w:rFonts w:ascii="Bookman Old Style" w:hAnsi="Bookman Old Style" w:cs="Times New Roman"/>
          <w:lang w:val="it-IT"/>
        </w:rPr>
      </w:pPr>
      <w:r w:rsidRPr="00F02DA5">
        <w:rPr>
          <w:rFonts w:ascii="Bookman Old Style" w:hAnsi="Bookman Old Style" w:cs="Times New Roman"/>
          <w:lang w:val="it-IT"/>
        </w:rPr>
        <w:t>7. Një nga synimet e Shkollës në këtë fushë është botimi i librave me Praktikë Gjyqësore (Case study) për Trajnimin Fillestar;</w:t>
      </w:r>
    </w:p>
    <w:p w:rsidR="00466D1F" w:rsidRPr="00F02DA5" w:rsidRDefault="00466D1F" w:rsidP="00466D1F">
      <w:pPr>
        <w:jc w:val="both"/>
        <w:rPr>
          <w:rFonts w:ascii="Bookman Old Style" w:hAnsi="Bookman Old Style" w:cs="Times New Roman"/>
          <w:lang w:val="it-IT"/>
        </w:rPr>
      </w:pPr>
      <w:r w:rsidRPr="00F02DA5">
        <w:rPr>
          <w:rFonts w:ascii="Bookman Old Style" w:hAnsi="Bookman Old Style" w:cs="Times New Roman"/>
          <w:lang w:val="it-IT"/>
        </w:rPr>
        <w:t>8. Ngritjen e një qëndre burimore për të drejtën evropiane, në shërbim të sistemit të drejtësisë në Shqipëri;</w:t>
      </w:r>
    </w:p>
    <w:p w:rsidR="00466D1F" w:rsidRPr="00F02DA5" w:rsidRDefault="00B91F68" w:rsidP="00466D1F">
      <w:pPr>
        <w:jc w:val="both"/>
        <w:rPr>
          <w:rFonts w:ascii="Bookman Old Style" w:hAnsi="Bookman Old Style" w:cs="Times New Roman"/>
          <w:lang w:val="it-IT"/>
        </w:rPr>
      </w:pPr>
      <w:r>
        <w:rPr>
          <w:rFonts w:ascii="Bookman Old Style" w:hAnsi="Bookman Old Style" w:cs="Times New Roman"/>
          <w:lang w:val="it-IT"/>
        </w:rPr>
        <w:t xml:space="preserve">9. </w:t>
      </w:r>
      <w:r w:rsidR="00466D1F" w:rsidRPr="00F02DA5">
        <w:rPr>
          <w:rFonts w:ascii="Bookman Old Style" w:hAnsi="Bookman Old Style" w:cs="Times New Roman"/>
          <w:lang w:val="it-IT"/>
        </w:rPr>
        <w:t>Zhvillimin dhe përmirësimin e vazhdueshëm të bibliotekës, e cila është thelbësore për magjistratët që kryejnë Formimin Fillestar dhe Vazhdues, si edhe qenien e një burimi për të diplomuarit (në rastin tonë për gjyqtarët dhe prokurorët) dhe të tjerët. Prioritetet tona afatshkurtra, për biblioteken përfshijnë përdorimin e teknologjive elektronike, pasurimin e bibliotekës me materiale shqiptare dhe të huaja për të përballuar kurset e reja që do të zhvillohen dhe zhvillimin dhe thellimin e lidhjeve tona me bibliotekat e shkollave evropiane të magjistraturës dhe institucioneve të tjera ligjore. Prioritet do të jetë sigurimi i aksesit në biblioteka dhe database online.</w:t>
      </w:r>
    </w:p>
    <w:p w:rsidR="00466D1F" w:rsidRPr="00F02DA5" w:rsidRDefault="00466D1F" w:rsidP="00466D1F">
      <w:pPr>
        <w:jc w:val="both"/>
        <w:rPr>
          <w:rFonts w:ascii="Bookman Old Style" w:hAnsi="Bookman Old Style" w:cs="Times New Roman"/>
          <w:lang w:val="pt-BR"/>
        </w:rPr>
      </w:pPr>
      <w:r w:rsidRPr="00F02DA5">
        <w:rPr>
          <w:rFonts w:ascii="Bookman Old Style" w:hAnsi="Bookman Old Style" w:cs="Times New Roman"/>
          <w:lang w:val="pt-BR"/>
        </w:rPr>
        <w:t>Në bibliotekën tonë, do t’i kushtojmë përpjekje, katalogimit të burimeve tona në përputhje me praktikat standarte të bibliotekave, duke vazhduar të shfrytëzojmë teknologjitë e reja dhe duke qenë një shërbim mbështetjeje efikas për sektorët ose departamentet e rinj për botim dhe punë kërkimore;</w:t>
      </w:r>
    </w:p>
    <w:p w:rsidR="00466D1F" w:rsidRPr="00F02DA5" w:rsidRDefault="00466D1F" w:rsidP="00466D1F">
      <w:pPr>
        <w:rPr>
          <w:rFonts w:ascii="Bookman Old Style" w:hAnsi="Bookman Old Style"/>
        </w:rPr>
      </w:pPr>
      <w:r w:rsidRPr="00F02DA5">
        <w:rPr>
          <w:rFonts w:ascii="Bookman Old Style" w:hAnsi="Bookman Old Style" w:cs="Times New Roman"/>
          <w:lang w:val="it-IT"/>
        </w:rPr>
        <w:t>10. Në lidhje me bibliotekën, prioritetet tona  synojnë zgjerimin e hapësirës së saj me salla të tjera leximi, të vazhdojmë të përfitojmë dhe të shfrytëzojmë teknologjitë e reja dhe në përgjithësi, t’u shërbejmë nevojave në zhvillim të Shkollës, në koordinim me stafin pedagogjik.</w:t>
      </w:r>
    </w:p>
    <w:p w:rsidR="00D754B9" w:rsidRDefault="00D754B9" w:rsidP="002E4C6C">
      <w:pPr>
        <w:rPr>
          <w:rFonts w:ascii="Times New Roman" w:hAnsi="Times New Roman" w:cs="Times New Roman"/>
          <w:sz w:val="24"/>
          <w:szCs w:val="24"/>
        </w:rPr>
      </w:pPr>
    </w:p>
    <w:p w:rsidR="00D754B9" w:rsidRDefault="00D754B9" w:rsidP="002E4C6C">
      <w:pPr>
        <w:rPr>
          <w:rFonts w:ascii="Times New Roman" w:hAnsi="Times New Roman" w:cs="Times New Roman"/>
          <w:sz w:val="24"/>
          <w:szCs w:val="24"/>
        </w:rPr>
      </w:pPr>
    </w:p>
    <w:p w:rsidR="00D754B9" w:rsidRDefault="00D754B9" w:rsidP="002E4C6C">
      <w:pPr>
        <w:rPr>
          <w:rFonts w:ascii="Times New Roman" w:hAnsi="Times New Roman" w:cs="Times New Roman"/>
          <w:sz w:val="24"/>
          <w:szCs w:val="24"/>
        </w:rPr>
      </w:pPr>
    </w:p>
    <w:p w:rsidR="00D754B9" w:rsidRDefault="00D754B9" w:rsidP="002E4C6C">
      <w:pPr>
        <w:rPr>
          <w:rFonts w:ascii="Times New Roman" w:hAnsi="Times New Roman" w:cs="Times New Roman"/>
          <w:sz w:val="24"/>
          <w:szCs w:val="24"/>
        </w:rPr>
      </w:pPr>
    </w:p>
    <w:p w:rsidR="00D754B9" w:rsidRDefault="00D754B9" w:rsidP="002E4C6C">
      <w:pPr>
        <w:rPr>
          <w:rFonts w:ascii="Times New Roman" w:hAnsi="Times New Roman" w:cs="Times New Roman"/>
          <w:sz w:val="24"/>
          <w:szCs w:val="24"/>
        </w:rPr>
      </w:pPr>
    </w:p>
    <w:p w:rsidR="00201C85" w:rsidRDefault="00201C85" w:rsidP="002E4C6C">
      <w:pPr>
        <w:rPr>
          <w:rFonts w:ascii="Times New Roman" w:hAnsi="Times New Roman" w:cs="Times New Roman"/>
          <w:sz w:val="24"/>
          <w:szCs w:val="24"/>
        </w:rPr>
      </w:pPr>
    </w:p>
    <w:p w:rsidR="00824B14" w:rsidRPr="00201C85" w:rsidRDefault="00824B14" w:rsidP="00201C85">
      <w:pPr>
        <w:jc w:val="both"/>
        <w:rPr>
          <w:rFonts w:ascii="Bookman Old Style" w:hAnsi="Bookman Old Style"/>
          <w:b/>
          <w:bCs/>
          <w:color w:val="372971" w:themeColor="accent5" w:themeShade="80"/>
          <w:sz w:val="24"/>
          <w:szCs w:val="24"/>
        </w:rPr>
      </w:pPr>
      <w:r w:rsidRPr="00201C85">
        <w:rPr>
          <w:rFonts w:ascii="Bookman Old Style" w:hAnsi="Bookman Old Style"/>
          <w:b/>
          <w:bCs/>
          <w:color w:val="372971" w:themeColor="accent5" w:themeShade="80"/>
          <w:sz w:val="24"/>
          <w:szCs w:val="24"/>
        </w:rPr>
        <w:lastRenderedPageBreak/>
        <w:t>ANEKS III</w:t>
      </w:r>
      <w:bookmarkStart w:id="27" w:name="OLE_LINK24"/>
      <w:r w:rsidR="009C5D9C">
        <w:rPr>
          <w:rFonts w:ascii="Bookman Old Style" w:hAnsi="Bookman Old Style"/>
          <w:b/>
          <w:bCs/>
          <w:color w:val="372971" w:themeColor="accent5" w:themeShade="80"/>
          <w:sz w:val="24"/>
          <w:szCs w:val="24"/>
        </w:rPr>
        <w:t xml:space="preserve">  </w:t>
      </w:r>
      <w:r w:rsidRPr="00201C85">
        <w:rPr>
          <w:rFonts w:ascii="Bookman Old Style" w:hAnsi="Bookman Old Style"/>
          <w:b/>
          <w:bCs/>
          <w:color w:val="372971" w:themeColor="accent5" w:themeShade="80"/>
          <w:sz w:val="24"/>
          <w:szCs w:val="24"/>
        </w:rPr>
        <w:t>TEMATIKAT E PROGRAMIT TË TRAJNIMIT VAZHDUES 2012 -2015</w:t>
      </w:r>
    </w:p>
    <w:p w:rsidR="00824B14" w:rsidRPr="00201C85" w:rsidRDefault="00201C85" w:rsidP="00201C85">
      <w:pPr>
        <w:jc w:val="both"/>
        <w:rPr>
          <w:rFonts w:ascii="Bookman Old Style" w:hAnsi="Bookman Old Style"/>
          <w:b/>
          <w:bCs/>
          <w:color w:val="372971" w:themeColor="accent5" w:themeShade="80"/>
          <w:sz w:val="24"/>
          <w:szCs w:val="24"/>
        </w:rPr>
      </w:pPr>
      <w:r>
        <w:rPr>
          <w:rFonts w:ascii="Bookman Old Style" w:hAnsi="Bookman Old Style"/>
          <w:b/>
          <w:bCs/>
          <w:color w:val="372971" w:themeColor="accent5" w:themeShade="80"/>
          <w:sz w:val="24"/>
          <w:szCs w:val="24"/>
        </w:rPr>
        <w:t xml:space="preserve">TË MIRATUARA </w:t>
      </w:r>
      <w:r w:rsidR="00824B14" w:rsidRPr="00201C85">
        <w:rPr>
          <w:rFonts w:ascii="Bookman Old Style" w:hAnsi="Bookman Old Style"/>
          <w:b/>
          <w:bCs/>
          <w:color w:val="372971" w:themeColor="accent5" w:themeShade="80"/>
          <w:sz w:val="24"/>
          <w:szCs w:val="24"/>
        </w:rPr>
        <w:t xml:space="preserve">NGA KËSHILLI DREJTUES I SHKOLLËS SË MAGJISTRATURËS </w:t>
      </w:r>
      <w:r w:rsidR="00824B14" w:rsidRPr="00A7650C">
        <w:rPr>
          <w:rFonts w:ascii="Bookman Old Style" w:hAnsi="Bookman Old Style"/>
          <w:b/>
          <w:bCs/>
          <w:color w:val="372971" w:themeColor="accent5" w:themeShade="80"/>
          <w:sz w:val="24"/>
          <w:szCs w:val="24"/>
          <w:vertAlign w:val="superscript"/>
        </w:rPr>
        <w:footnoteReference w:id="10"/>
      </w:r>
    </w:p>
    <w:p w:rsidR="00824B14" w:rsidRDefault="00824B14" w:rsidP="00201C85">
      <w:pPr>
        <w:jc w:val="both"/>
        <w:rPr>
          <w:rFonts w:ascii="Bookman Old Style" w:hAnsi="Bookman Old Style"/>
          <w:b/>
          <w:bCs/>
          <w:color w:val="372971" w:themeColor="accent5" w:themeShade="80"/>
          <w:sz w:val="24"/>
          <w:szCs w:val="24"/>
        </w:rPr>
      </w:pPr>
      <w:r w:rsidRPr="00201C85">
        <w:rPr>
          <w:rFonts w:ascii="Bookman Old Style" w:hAnsi="Bookman Old Style"/>
          <w:b/>
          <w:bCs/>
          <w:color w:val="372971" w:themeColor="accent5" w:themeShade="80"/>
          <w:sz w:val="24"/>
          <w:szCs w:val="24"/>
        </w:rPr>
        <w:t>(Sipas ligjit për SHM janë respektuar të gjitha hallkat e proçesit të vlerësimit të nevojave)</w:t>
      </w:r>
    </w:p>
    <w:tbl>
      <w:tblPr>
        <w:tblpPr w:leftFromText="187" w:rightFromText="187" w:horzAnchor="page" w:tblpXSpec="center" w:tblpY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
        <w:gridCol w:w="1605"/>
        <w:gridCol w:w="8473"/>
      </w:tblGrid>
      <w:tr w:rsidR="00E11796" w:rsidRPr="00A600FE" w:rsidTr="003B46CD">
        <w:trPr>
          <w:trHeight w:val="558"/>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b/>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r w:rsidRPr="00A600FE">
              <w:rPr>
                <w:rFonts w:ascii="Palatino Linotype" w:hAnsi="Palatino Linotype"/>
                <w:b/>
              </w:rPr>
              <w:t>KURSE</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r w:rsidRPr="00A600FE">
              <w:rPr>
                <w:rFonts w:ascii="Palatino Linotype" w:hAnsi="Palatino Linotype"/>
                <w:b/>
              </w:rPr>
              <w:t>KODET/FUSHAT</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rPr>
            </w:pPr>
            <w:r w:rsidRPr="00A600FE">
              <w:rPr>
                <w:rFonts w:ascii="Palatino Linotype" w:hAnsi="Palatino Linotype"/>
                <w:b/>
              </w:rPr>
              <w:t>Nr</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rPr>
            </w:pPr>
            <w:r w:rsidRPr="00A600FE">
              <w:rPr>
                <w:rFonts w:ascii="Palatino Linotype" w:hAnsi="Palatino Linotype"/>
                <w:b/>
              </w:rPr>
              <w:t>(KODI A)  TEMA TË SË DREJTËS CIVILE DHE PROCEDURËS CIVILE</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A 01</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Aspekte proceduriale të të drejtës së padisë.</w:t>
            </w:r>
          </w:p>
          <w:p w:rsidR="00E11796" w:rsidRDefault="00E11796" w:rsidP="00E11796">
            <w:pPr>
              <w:numPr>
                <w:ilvl w:val="0"/>
                <w:numId w:val="52"/>
              </w:numPr>
              <w:spacing w:after="0" w:line="240" w:lineRule="auto"/>
              <w:jc w:val="both"/>
              <w:rPr>
                <w:rFonts w:ascii="Palatino Linotype" w:hAnsi="Palatino Linotype"/>
                <w:sz w:val="18"/>
                <w:szCs w:val="18"/>
              </w:rPr>
            </w:pPr>
            <w:r w:rsidRPr="00A600FE">
              <w:rPr>
                <w:rFonts w:ascii="Palatino Linotype" w:hAnsi="Palatino Linotype"/>
                <w:sz w:val="18"/>
                <w:szCs w:val="18"/>
              </w:rPr>
              <w:t xml:space="preserve">Parimi i disponibilitetit të padisë. </w:t>
            </w:r>
          </w:p>
          <w:p w:rsidR="00E11796" w:rsidRDefault="00E11796" w:rsidP="00E11796">
            <w:pPr>
              <w:numPr>
                <w:ilvl w:val="0"/>
                <w:numId w:val="52"/>
              </w:numPr>
              <w:spacing w:after="0" w:line="240" w:lineRule="auto"/>
              <w:jc w:val="both"/>
              <w:rPr>
                <w:rFonts w:ascii="Palatino Linotype" w:hAnsi="Palatino Linotype"/>
                <w:sz w:val="18"/>
                <w:szCs w:val="18"/>
              </w:rPr>
            </w:pPr>
            <w:r w:rsidRPr="00A600FE">
              <w:rPr>
                <w:rFonts w:ascii="Palatino Linotype" w:hAnsi="Palatino Linotype"/>
                <w:sz w:val="18"/>
                <w:szCs w:val="18"/>
              </w:rPr>
              <w:t xml:space="preserve">Raportet proceduralo-civile midis </w:t>
            </w:r>
            <w:r>
              <w:rPr>
                <w:rFonts w:ascii="Palatino Linotype" w:hAnsi="Palatino Linotype"/>
                <w:sz w:val="18"/>
                <w:szCs w:val="18"/>
              </w:rPr>
              <w:t>palëve ne procesin civil.</w:t>
            </w:r>
          </w:p>
          <w:p w:rsidR="00E11796" w:rsidRPr="00A600FE" w:rsidRDefault="00E11796" w:rsidP="00E11796">
            <w:pPr>
              <w:numPr>
                <w:ilvl w:val="0"/>
                <w:numId w:val="52"/>
              </w:numPr>
              <w:spacing w:after="0" w:line="240" w:lineRule="auto"/>
              <w:jc w:val="both"/>
              <w:rPr>
                <w:rFonts w:ascii="Palatino Linotype" w:hAnsi="Palatino Linotype"/>
                <w:sz w:val="18"/>
                <w:szCs w:val="18"/>
              </w:rPr>
            </w:pPr>
            <w:r>
              <w:rPr>
                <w:rFonts w:ascii="Palatino Linotype" w:hAnsi="Palatino Linotype"/>
                <w:sz w:val="18"/>
                <w:szCs w:val="18"/>
              </w:rPr>
              <w:t>Paditë që s’mund të ngrihen dhe p</w:t>
            </w:r>
            <w:r w:rsidRPr="00A600FE">
              <w:rPr>
                <w:rFonts w:ascii="Palatino Linotype" w:hAnsi="Palatino Linotype"/>
                <w:sz w:val="18"/>
                <w:szCs w:val="18"/>
              </w:rPr>
              <w:t>raktikat gjyqësore kontradiktore lidhur me këtë cështje.</w:t>
            </w:r>
          </w:p>
          <w:p w:rsidR="00E11796" w:rsidRPr="00A600FE" w:rsidRDefault="00E11796" w:rsidP="00E11796">
            <w:pPr>
              <w:numPr>
                <w:ilvl w:val="0"/>
                <w:numId w:val="52"/>
              </w:numPr>
              <w:spacing w:after="0" w:line="240" w:lineRule="auto"/>
              <w:jc w:val="both"/>
              <w:rPr>
                <w:rFonts w:ascii="Palatino Linotype" w:hAnsi="Palatino Linotype"/>
                <w:sz w:val="18"/>
                <w:szCs w:val="18"/>
              </w:rPr>
            </w:pPr>
            <w:r>
              <w:rPr>
                <w:rFonts w:ascii="Palatino Linotype" w:hAnsi="Palatino Linotype"/>
                <w:sz w:val="18"/>
                <w:szCs w:val="18"/>
              </w:rPr>
              <w:t xml:space="preserve">Shkaqet ligjore të prishjes së vendimeve nga gjykatat më të larta. </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2273FC" w:rsidRDefault="00E11796" w:rsidP="003B46CD">
            <w:pPr>
              <w:jc w:val="center"/>
              <w:rPr>
                <w:rFonts w:ascii="Palatino Linotype" w:hAnsi="Palatino Linotype"/>
                <w:b/>
                <w:sz w:val="18"/>
                <w:szCs w:val="18"/>
              </w:rPr>
            </w:pPr>
            <w:r w:rsidRPr="002273FC">
              <w:rPr>
                <w:rFonts w:ascii="Palatino Linotype" w:hAnsi="Palatino Linotype"/>
                <w:b/>
                <w:sz w:val="18"/>
                <w:szCs w:val="18"/>
              </w:rPr>
              <w:t>A 02</w:t>
            </w:r>
          </w:p>
        </w:tc>
        <w:tc>
          <w:tcPr>
            <w:tcW w:w="0" w:type="auto"/>
            <w:tcBorders>
              <w:top w:val="single" w:sz="4" w:space="0" w:color="auto"/>
              <w:left w:val="single" w:sz="4" w:space="0" w:color="auto"/>
              <w:bottom w:val="single" w:sz="4" w:space="0" w:color="auto"/>
              <w:right w:val="single" w:sz="4" w:space="0" w:color="auto"/>
            </w:tcBorders>
          </w:tcPr>
          <w:p w:rsidR="00E11796" w:rsidRPr="002273FC" w:rsidRDefault="00E11796" w:rsidP="003B46CD">
            <w:pPr>
              <w:jc w:val="both"/>
              <w:rPr>
                <w:rFonts w:ascii="Palatino Linotype" w:hAnsi="Palatino Linotype"/>
                <w:sz w:val="18"/>
                <w:szCs w:val="18"/>
              </w:rPr>
            </w:pPr>
            <w:r w:rsidRPr="002273FC">
              <w:rPr>
                <w:rFonts w:ascii="Palatino Linotype" w:hAnsi="Palatino Linotype"/>
                <w:sz w:val="18"/>
                <w:szCs w:val="18"/>
              </w:rPr>
              <w:t>Parashkrimi i padisë</w:t>
            </w:r>
            <w:r>
              <w:rPr>
                <w:rFonts w:ascii="Palatino Linotype" w:hAnsi="Palatino Linotype"/>
                <w:sz w:val="18"/>
                <w:szCs w:val="18"/>
              </w:rPr>
              <w:t>.</w:t>
            </w:r>
          </w:p>
          <w:p w:rsidR="00E11796" w:rsidRPr="002273FC" w:rsidRDefault="00E11796" w:rsidP="00E11796">
            <w:pPr>
              <w:numPr>
                <w:ilvl w:val="0"/>
                <w:numId w:val="93"/>
              </w:numPr>
              <w:spacing w:after="0" w:line="240" w:lineRule="auto"/>
              <w:jc w:val="both"/>
              <w:rPr>
                <w:rFonts w:ascii="Palatino Linotype" w:hAnsi="Palatino Linotype"/>
                <w:sz w:val="18"/>
                <w:szCs w:val="18"/>
              </w:rPr>
            </w:pPr>
            <w:r w:rsidRPr="002273FC">
              <w:rPr>
                <w:rFonts w:ascii="Palatino Linotype" w:hAnsi="Palatino Linotype"/>
                <w:sz w:val="18"/>
                <w:szCs w:val="18"/>
              </w:rPr>
              <w:t>Paditë që nuk i nënshtrohen parashkrimit;</w:t>
            </w:r>
          </w:p>
          <w:p w:rsidR="00E11796" w:rsidRPr="002273FC" w:rsidRDefault="00E11796" w:rsidP="00E11796">
            <w:pPr>
              <w:numPr>
                <w:ilvl w:val="0"/>
                <w:numId w:val="93"/>
              </w:numPr>
              <w:spacing w:after="0" w:line="240" w:lineRule="auto"/>
              <w:jc w:val="both"/>
              <w:rPr>
                <w:rFonts w:ascii="Palatino Linotype" w:hAnsi="Palatino Linotype"/>
                <w:sz w:val="18"/>
                <w:szCs w:val="18"/>
              </w:rPr>
            </w:pPr>
            <w:r w:rsidRPr="002273FC">
              <w:rPr>
                <w:rFonts w:ascii="Palatino Linotype" w:hAnsi="Palatino Linotype"/>
                <w:sz w:val="18"/>
                <w:szCs w:val="18"/>
              </w:rPr>
              <w:t xml:space="preserve">parashkrimi i posacëm dhe parashkrimi i përgjithshëm; </w:t>
            </w:r>
          </w:p>
          <w:p w:rsidR="00E11796" w:rsidRPr="002273FC" w:rsidRDefault="00E11796" w:rsidP="00E11796">
            <w:pPr>
              <w:numPr>
                <w:ilvl w:val="0"/>
                <w:numId w:val="93"/>
              </w:numPr>
              <w:spacing w:after="0" w:line="240" w:lineRule="auto"/>
              <w:jc w:val="both"/>
              <w:rPr>
                <w:rFonts w:ascii="Palatino Linotype" w:hAnsi="Palatino Linotype"/>
                <w:sz w:val="18"/>
                <w:szCs w:val="18"/>
              </w:rPr>
            </w:pPr>
            <w:r w:rsidRPr="002273FC">
              <w:rPr>
                <w:rFonts w:ascii="Palatino Linotype" w:hAnsi="Palatino Linotype"/>
                <w:sz w:val="18"/>
                <w:szCs w:val="18"/>
              </w:rPr>
              <w:t>ndërprerja dhe pezullimi i parashkrimit, pasojat juridike që rrj</w:t>
            </w:r>
            <w:r>
              <w:rPr>
                <w:rFonts w:ascii="Palatino Linotype" w:hAnsi="Palatino Linotype"/>
                <w:sz w:val="18"/>
                <w:szCs w:val="18"/>
              </w:rPr>
              <w:t>edhin nga parashkrimi i padisë;</w:t>
            </w:r>
          </w:p>
          <w:p w:rsidR="00E11796" w:rsidRPr="002273FC" w:rsidRDefault="00E11796" w:rsidP="00E11796">
            <w:pPr>
              <w:numPr>
                <w:ilvl w:val="0"/>
                <w:numId w:val="93"/>
              </w:numPr>
              <w:spacing w:after="0" w:line="240" w:lineRule="auto"/>
              <w:jc w:val="both"/>
              <w:rPr>
                <w:rFonts w:ascii="Palatino Linotype" w:hAnsi="Palatino Linotype"/>
                <w:sz w:val="18"/>
                <w:szCs w:val="18"/>
              </w:rPr>
            </w:pPr>
            <w:r w:rsidRPr="002273FC">
              <w:rPr>
                <w:rFonts w:ascii="Palatino Linotype" w:hAnsi="Palatino Linotype"/>
                <w:sz w:val="18"/>
                <w:szCs w:val="18"/>
              </w:rPr>
              <w:t>dallimi i parashkrimit të padisë nga prekluziviteti ose dekadenca e të drejtave.</w:t>
            </w:r>
          </w:p>
          <w:p w:rsidR="00E11796" w:rsidRPr="002273FC" w:rsidRDefault="00E11796" w:rsidP="00E11796">
            <w:pPr>
              <w:numPr>
                <w:ilvl w:val="0"/>
                <w:numId w:val="93"/>
              </w:numPr>
              <w:spacing w:after="0" w:line="240" w:lineRule="auto"/>
              <w:jc w:val="both"/>
              <w:rPr>
                <w:rFonts w:ascii="Palatino Linotype" w:hAnsi="Palatino Linotype"/>
                <w:sz w:val="18"/>
                <w:szCs w:val="18"/>
              </w:rPr>
            </w:pPr>
            <w:r w:rsidRPr="002273FC">
              <w:rPr>
                <w:rFonts w:ascii="Palatino Linotype" w:hAnsi="Palatino Linotype"/>
                <w:sz w:val="18"/>
                <w:szCs w:val="18"/>
              </w:rPr>
              <w:t>Praktika gjyqësore dhe problemet që kanë lindur nga interpretimi  dhe zbatimi i ligjit, për afatin e vënies në ekzekutim të vendimeve gjyqësore.</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03</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 xml:space="preserve">Dëmet, shpërblimet </w:t>
            </w:r>
            <w:r>
              <w:rPr>
                <w:rFonts w:ascii="Palatino Linotype" w:hAnsi="Palatino Linotype"/>
                <w:sz w:val="18"/>
                <w:szCs w:val="18"/>
              </w:rPr>
              <w:t>dh</w:t>
            </w:r>
            <w:r w:rsidRPr="00A600FE">
              <w:rPr>
                <w:rFonts w:ascii="Palatino Linotype" w:hAnsi="Palatino Linotype"/>
                <w:sz w:val="18"/>
                <w:szCs w:val="18"/>
              </w:rPr>
              <w:t xml:space="preserve">e </w:t>
            </w:r>
            <w:r>
              <w:rPr>
                <w:rFonts w:ascii="Palatino Linotype" w:hAnsi="Palatino Linotype"/>
                <w:sz w:val="18"/>
                <w:szCs w:val="18"/>
              </w:rPr>
              <w:t xml:space="preserve">kontrata e sigurimit të detyrueshëm </w:t>
            </w:r>
            <w:r w:rsidRPr="00A600FE">
              <w:rPr>
                <w:rFonts w:ascii="Palatino Linotype" w:hAnsi="Palatino Linotype"/>
                <w:sz w:val="18"/>
                <w:szCs w:val="18"/>
              </w:rPr>
              <w:t>në sektorin e transportit</w:t>
            </w:r>
            <w:r>
              <w:rPr>
                <w:rFonts w:ascii="Palatino Linotype" w:hAnsi="Palatino Linotype"/>
                <w:sz w:val="18"/>
                <w:szCs w:val="18"/>
              </w:rPr>
              <w:t>.</w:t>
            </w:r>
          </w:p>
          <w:p w:rsidR="00E11796" w:rsidRDefault="00E11796" w:rsidP="00E11796">
            <w:pPr>
              <w:numPr>
                <w:ilvl w:val="0"/>
                <w:numId w:val="54"/>
              </w:numPr>
              <w:spacing w:after="0" w:line="240" w:lineRule="auto"/>
              <w:jc w:val="both"/>
              <w:rPr>
                <w:rFonts w:ascii="Palatino Linotype" w:hAnsi="Palatino Linotype"/>
                <w:sz w:val="18"/>
                <w:szCs w:val="18"/>
              </w:rPr>
            </w:pPr>
            <w:r>
              <w:rPr>
                <w:rFonts w:ascii="Palatino Linotype" w:hAnsi="Palatino Linotype"/>
                <w:sz w:val="18"/>
                <w:szCs w:val="18"/>
              </w:rPr>
              <w:t xml:space="preserve">Efektet e ligjit </w:t>
            </w:r>
            <w:r w:rsidRPr="00A600FE">
              <w:rPr>
                <w:rFonts w:ascii="Palatino Linotype" w:hAnsi="Palatino Linotype"/>
                <w:sz w:val="18"/>
                <w:szCs w:val="18"/>
              </w:rPr>
              <w:t>nr. 10076</w:t>
            </w:r>
            <w:r>
              <w:rPr>
                <w:rFonts w:ascii="Palatino Linotype" w:hAnsi="Palatino Linotype"/>
                <w:sz w:val="18"/>
                <w:szCs w:val="18"/>
              </w:rPr>
              <w:t>/</w:t>
            </w:r>
            <w:r w:rsidRPr="00A600FE">
              <w:rPr>
                <w:rFonts w:ascii="Palatino Linotype" w:hAnsi="Palatino Linotype"/>
                <w:sz w:val="18"/>
                <w:szCs w:val="18"/>
              </w:rPr>
              <w:t>12.2.2009 “Për sigurimin e d</w:t>
            </w:r>
            <w:r>
              <w:rPr>
                <w:rFonts w:ascii="Palatino Linotype" w:hAnsi="Palatino Linotype"/>
                <w:sz w:val="18"/>
                <w:szCs w:val="18"/>
              </w:rPr>
              <w:t>e</w:t>
            </w:r>
            <w:r w:rsidRPr="00A600FE">
              <w:rPr>
                <w:rFonts w:ascii="Palatino Linotype" w:hAnsi="Palatino Linotype"/>
                <w:sz w:val="18"/>
                <w:szCs w:val="18"/>
              </w:rPr>
              <w:t>tyrueshëm në sektorin e transportit” i ndryshuar</w:t>
            </w:r>
            <w:r>
              <w:rPr>
                <w:rFonts w:ascii="Palatino Linotype" w:hAnsi="Palatino Linotype"/>
                <w:sz w:val="18"/>
                <w:szCs w:val="18"/>
              </w:rPr>
              <w:t xml:space="preserve"> dhe të a</w:t>
            </w:r>
            <w:r w:rsidRPr="00A600FE">
              <w:rPr>
                <w:rFonts w:ascii="Palatino Linotype" w:hAnsi="Palatino Linotype"/>
                <w:sz w:val="18"/>
                <w:szCs w:val="18"/>
              </w:rPr>
              <w:t>kte</w:t>
            </w:r>
            <w:r>
              <w:rPr>
                <w:rFonts w:ascii="Palatino Linotype" w:hAnsi="Palatino Linotype"/>
                <w:sz w:val="18"/>
                <w:szCs w:val="18"/>
              </w:rPr>
              <w:t>ve</w:t>
            </w:r>
            <w:r w:rsidRPr="00A600FE">
              <w:rPr>
                <w:rFonts w:ascii="Palatino Linotype" w:hAnsi="Palatino Linotype"/>
                <w:sz w:val="18"/>
                <w:szCs w:val="18"/>
              </w:rPr>
              <w:t xml:space="preserve"> nënligjore</w:t>
            </w:r>
            <w:r>
              <w:rPr>
                <w:rFonts w:ascii="Palatino Linotype" w:hAnsi="Palatino Linotype"/>
                <w:sz w:val="18"/>
                <w:szCs w:val="18"/>
              </w:rPr>
              <w:t xml:space="preserve"> në fuqi</w:t>
            </w:r>
            <w:r w:rsidRPr="00A600FE">
              <w:rPr>
                <w:rFonts w:ascii="Palatino Linotype" w:hAnsi="Palatino Linotype"/>
                <w:sz w:val="18"/>
                <w:szCs w:val="18"/>
              </w:rPr>
              <w:t xml:space="preserve">. </w:t>
            </w:r>
          </w:p>
          <w:p w:rsidR="00E11796" w:rsidRPr="00100F25" w:rsidRDefault="00E11796" w:rsidP="00E11796">
            <w:pPr>
              <w:numPr>
                <w:ilvl w:val="0"/>
                <w:numId w:val="54"/>
              </w:numPr>
              <w:spacing w:after="0" w:line="240" w:lineRule="auto"/>
              <w:jc w:val="both"/>
              <w:rPr>
                <w:rFonts w:ascii="Palatino Linotype" w:hAnsi="Palatino Linotype"/>
                <w:sz w:val="18"/>
                <w:szCs w:val="18"/>
              </w:rPr>
            </w:pPr>
            <w:r>
              <w:rPr>
                <w:rFonts w:ascii="Palatino Linotype" w:hAnsi="Palatino Linotype"/>
                <w:sz w:val="18"/>
                <w:szCs w:val="18"/>
              </w:rPr>
              <w:t xml:space="preserve">Ndikimi i </w:t>
            </w:r>
            <w:r w:rsidRPr="00A600FE">
              <w:rPr>
                <w:rFonts w:ascii="Palatino Linotype" w:hAnsi="Palatino Linotype"/>
                <w:sz w:val="18"/>
                <w:szCs w:val="18"/>
              </w:rPr>
              <w:t>vendim</w:t>
            </w:r>
            <w:r>
              <w:rPr>
                <w:rFonts w:ascii="Palatino Linotype" w:hAnsi="Palatino Linotype"/>
                <w:sz w:val="18"/>
                <w:szCs w:val="18"/>
              </w:rPr>
              <w:t>it</w:t>
            </w:r>
            <w:r w:rsidRPr="00A600FE">
              <w:rPr>
                <w:rFonts w:ascii="Palatino Linotype" w:hAnsi="Palatino Linotype"/>
                <w:sz w:val="18"/>
                <w:szCs w:val="18"/>
              </w:rPr>
              <w:t xml:space="preserve"> unifiku</w:t>
            </w:r>
            <w:r>
              <w:rPr>
                <w:rFonts w:ascii="Palatino Linotype" w:hAnsi="Palatino Linotype"/>
                <w:sz w:val="18"/>
                <w:szCs w:val="18"/>
              </w:rPr>
              <w:t>es nr. 14/12.09.2007 të Kolegjeve të B</w:t>
            </w:r>
            <w:r w:rsidRPr="00A600FE">
              <w:rPr>
                <w:rFonts w:ascii="Palatino Linotype" w:hAnsi="Palatino Linotype"/>
                <w:sz w:val="18"/>
                <w:szCs w:val="18"/>
              </w:rPr>
              <w:t>ashkuara të GjL</w:t>
            </w:r>
            <w:r>
              <w:rPr>
                <w:rFonts w:ascii="Palatino Linotype" w:hAnsi="Palatino Linotype"/>
                <w:sz w:val="18"/>
                <w:szCs w:val="18"/>
              </w:rPr>
              <w:t>, në praktikën gjyqësore</w:t>
            </w:r>
            <w:r w:rsidRPr="00A600FE">
              <w:rPr>
                <w:rFonts w:ascii="Palatino Linotype" w:hAnsi="Palatino Linotype"/>
                <w:sz w:val="18"/>
                <w:szCs w:val="18"/>
              </w:rPr>
              <w:t>.</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04</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Dëmi jashtëkontrak</w:t>
            </w:r>
            <w:r>
              <w:rPr>
                <w:rFonts w:ascii="Palatino Linotype" w:hAnsi="Palatino Linotype"/>
                <w:sz w:val="18"/>
                <w:szCs w:val="18"/>
              </w:rPr>
              <w:t>tor dhe përgjegjësitë që rrjedhin</w:t>
            </w:r>
            <w:r w:rsidRPr="00A600FE">
              <w:rPr>
                <w:rFonts w:ascii="Palatino Linotype" w:hAnsi="Palatino Linotype"/>
                <w:sz w:val="18"/>
                <w:szCs w:val="18"/>
              </w:rPr>
              <w:t xml:space="preserve"> prej tij. </w:t>
            </w:r>
          </w:p>
          <w:p w:rsidR="00E11796" w:rsidRDefault="00E11796" w:rsidP="00E11796">
            <w:pPr>
              <w:numPr>
                <w:ilvl w:val="0"/>
                <w:numId w:val="55"/>
              </w:numPr>
              <w:spacing w:after="0" w:line="240" w:lineRule="auto"/>
              <w:jc w:val="both"/>
              <w:rPr>
                <w:rFonts w:ascii="Palatino Linotype" w:hAnsi="Palatino Linotype"/>
                <w:sz w:val="18"/>
                <w:szCs w:val="18"/>
              </w:rPr>
            </w:pPr>
            <w:r w:rsidRPr="00A600FE">
              <w:rPr>
                <w:rFonts w:ascii="Palatino Linotype" w:hAnsi="Palatino Linotype"/>
                <w:sz w:val="18"/>
                <w:szCs w:val="18"/>
              </w:rPr>
              <w:t xml:space="preserve">Mënyrat dhe kriteret e shpërblimit të këtyre dëmeve. </w:t>
            </w:r>
          </w:p>
          <w:p w:rsidR="00E11796" w:rsidRDefault="00E11796" w:rsidP="00E11796">
            <w:pPr>
              <w:numPr>
                <w:ilvl w:val="0"/>
                <w:numId w:val="55"/>
              </w:numPr>
              <w:spacing w:after="0" w:line="240" w:lineRule="auto"/>
              <w:jc w:val="both"/>
              <w:rPr>
                <w:rFonts w:ascii="Palatino Linotype" w:hAnsi="Palatino Linotype"/>
                <w:sz w:val="18"/>
                <w:szCs w:val="18"/>
              </w:rPr>
            </w:pPr>
            <w:r w:rsidRPr="00A600FE">
              <w:rPr>
                <w:rFonts w:ascii="Palatino Linotype" w:hAnsi="Palatino Linotype"/>
                <w:sz w:val="18"/>
                <w:szCs w:val="18"/>
              </w:rPr>
              <w:t xml:space="preserve">Dëmi jopasuror dhe kuptimet e reja të tij. </w:t>
            </w:r>
          </w:p>
          <w:p w:rsidR="00E11796" w:rsidRPr="00311B3B" w:rsidRDefault="00E11796" w:rsidP="00E11796">
            <w:pPr>
              <w:numPr>
                <w:ilvl w:val="0"/>
                <w:numId w:val="55"/>
              </w:numPr>
              <w:spacing w:after="0" w:line="240" w:lineRule="auto"/>
              <w:jc w:val="both"/>
              <w:rPr>
                <w:rFonts w:ascii="Palatino Linotype" w:hAnsi="Palatino Linotype"/>
                <w:sz w:val="18"/>
                <w:szCs w:val="18"/>
              </w:rPr>
            </w:pPr>
            <w:r w:rsidRPr="00A600FE">
              <w:rPr>
                <w:rFonts w:ascii="Palatino Linotype" w:hAnsi="Palatino Linotype"/>
                <w:sz w:val="18"/>
                <w:szCs w:val="18"/>
              </w:rPr>
              <w:t xml:space="preserve">Praktika gjyqësore shqiptare </w:t>
            </w:r>
            <w:r>
              <w:rPr>
                <w:rFonts w:ascii="Palatino Linotype" w:hAnsi="Palatino Linotype"/>
                <w:sz w:val="18"/>
                <w:szCs w:val="18"/>
              </w:rPr>
              <w:t>dhe jurisprudenca e</w:t>
            </w:r>
            <w:r w:rsidRPr="00311B3B">
              <w:rPr>
                <w:rFonts w:ascii="Palatino Linotype" w:hAnsi="Palatino Linotype"/>
                <w:sz w:val="18"/>
                <w:szCs w:val="18"/>
              </w:rPr>
              <w:t xml:space="preserve"> GJEDNJ mbi përgjegjësitë jashtëkontraktore. </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05</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sz w:val="18"/>
                <w:szCs w:val="18"/>
              </w:rPr>
            </w:pPr>
            <w:r>
              <w:rPr>
                <w:rFonts w:ascii="Palatino Linotype" w:hAnsi="Palatino Linotype"/>
                <w:sz w:val="18"/>
                <w:szCs w:val="18"/>
              </w:rPr>
              <w:t xml:space="preserve">Problematika që përcillet në gjyqësorin shqiptar në lidhje me përbërësit e </w:t>
            </w:r>
            <w:r w:rsidRPr="00A600FE">
              <w:rPr>
                <w:rFonts w:ascii="Palatino Linotype" w:hAnsi="Palatino Linotype"/>
                <w:sz w:val="18"/>
                <w:szCs w:val="18"/>
              </w:rPr>
              <w:t>gjëndje</w:t>
            </w:r>
            <w:r>
              <w:rPr>
                <w:rFonts w:ascii="Palatino Linotype" w:hAnsi="Palatino Linotype"/>
                <w:sz w:val="18"/>
                <w:szCs w:val="18"/>
              </w:rPr>
              <w:t>s</w:t>
            </w:r>
            <w:r w:rsidRPr="00A600FE">
              <w:rPr>
                <w:rFonts w:ascii="Palatino Linotype" w:hAnsi="Palatino Linotype"/>
                <w:sz w:val="18"/>
                <w:szCs w:val="18"/>
              </w:rPr>
              <w:t xml:space="preserve"> civile</w:t>
            </w:r>
            <w:r>
              <w:rPr>
                <w:rFonts w:ascii="Palatino Linotype" w:hAnsi="Palatino Linotype"/>
                <w:sz w:val="18"/>
                <w:szCs w:val="18"/>
              </w:rPr>
              <w:t xml:space="preserve"> dhe legjislacionin përkatës</w:t>
            </w:r>
            <w:r w:rsidRPr="00A600FE">
              <w:rPr>
                <w:rFonts w:ascii="Palatino Linotype" w:hAnsi="Palatino Linotype"/>
                <w:sz w:val="18"/>
                <w:szCs w:val="18"/>
              </w:rPr>
              <w:t>.</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A 0</w:t>
            </w:r>
            <w:r>
              <w:rPr>
                <w:rFonts w:ascii="Palatino Linotype" w:hAnsi="Palatino Linotype"/>
                <w:b/>
                <w:sz w:val="18"/>
                <w:szCs w:val="18"/>
              </w:rPr>
              <w:t>6</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sz w:val="18"/>
                <w:szCs w:val="18"/>
              </w:rPr>
            </w:pPr>
            <w:r w:rsidRPr="00A600FE">
              <w:rPr>
                <w:rFonts w:ascii="Palatino Linotype" w:hAnsi="Palatino Linotype"/>
                <w:sz w:val="18"/>
                <w:szCs w:val="18"/>
              </w:rPr>
              <w:t>Kërkesat apo kërkesë paditë mbi ndihmën juridike në fushën civile dhe administrative.</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07</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pStyle w:val="ListParagraph"/>
              <w:spacing w:after="0"/>
              <w:ind w:left="0"/>
              <w:jc w:val="both"/>
              <w:rPr>
                <w:rFonts w:ascii="Palatino Linotype" w:hAnsi="Palatino Linotype"/>
                <w:sz w:val="18"/>
                <w:szCs w:val="18"/>
              </w:rPr>
            </w:pPr>
            <w:r>
              <w:rPr>
                <w:rFonts w:ascii="Palatino Linotype" w:hAnsi="Palatino Linotype"/>
                <w:sz w:val="18"/>
                <w:szCs w:val="18"/>
              </w:rPr>
              <w:t>Trashëgimia me t</w:t>
            </w:r>
            <w:r w:rsidRPr="00A600FE">
              <w:rPr>
                <w:rFonts w:ascii="Palatino Linotype" w:hAnsi="Palatino Linotype"/>
                <w:sz w:val="18"/>
                <w:szCs w:val="18"/>
              </w:rPr>
              <w:t>estament</w:t>
            </w:r>
            <w:r>
              <w:rPr>
                <w:rFonts w:ascii="Palatino Linotype" w:hAnsi="Palatino Linotype"/>
                <w:sz w:val="18"/>
                <w:szCs w:val="18"/>
              </w:rPr>
              <w:t>.</w:t>
            </w:r>
          </w:p>
          <w:p w:rsidR="00E11796" w:rsidRDefault="00E11796" w:rsidP="00E11796">
            <w:pPr>
              <w:pStyle w:val="ListParagraph"/>
              <w:numPr>
                <w:ilvl w:val="0"/>
                <w:numId w:val="56"/>
              </w:numPr>
              <w:spacing w:after="0"/>
              <w:contextualSpacing/>
              <w:jc w:val="both"/>
              <w:rPr>
                <w:rFonts w:ascii="Palatino Linotype" w:hAnsi="Palatino Linotype"/>
                <w:sz w:val="18"/>
                <w:szCs w:val="18"/>
              </w:rPr>
            </w:pPr>
            <w:r>
              <w:rPr>
                <w:rFonts w:ascii="Palatino Linotype" w:hAnsi="Palatino Linotype"/>
                <w:sz w:val="18"/>
                <w:szCs w:val="18"/>
              </w:rPr>
              <w:t>K</w:t>
            </w:r>
            <w:r w:rsidRPr="00A600FE">
              <w:rPr>
                <w:rFonts w:ascii="Palatino Linotype" w:hAnsi="Palatino Linotype"/>
                <w:sz w:val="18"/>
                <w:szCs w:val="18"/>
              </w:rPr>
              <w:t>ontradiktat midis vullnetit të testatorit dhe kushteve ligjore sipas Kodit Civil.</w:t>
            </w:r>
          </w:p>
          <w:p w:rsidR="00E11796" w:rsidRDefault="00E11796" w:rsidP="00E11796">
            <w:pPr>
              <w:pStyle w:val="ListParagraph"/>
              <w:numPr>
                <w:ilvl w:val="0"/>
                <w:numId w:val="56"/>
              </w:numPr>
              <w:spacing w:after="0"/>
              <w:contextualSpacing/>
              <w:jc w:val="both"/>
              <w:rPr>
                <w:rFonts w:ascii="Palatino Linotype" w:hAnsi="Palatino Linotype"/>
                <w:sz w:val="18"/>
                <w:szCs w:val="18"/>
              </w:rPr>
            </w:pPr>
            <w:r>
              <w:rPr>
                <w:rFonts w:ascii="Palatino Linotype" w:hAnsi="Palatino Linotype"/>
                <w:sz w:val="18"/>
                <w:szCs w:val="18"/>
              </w:rPr>
              <w:t>Pavlefshëmria e testamentit, p</w:t>
            </w:r>
            <w:r w:rsidRPr="00C4344F">
              <w:rPr>
                <w:rFonts w:ascii="Palatino Linotype" w:hAnsi="Palatino Linotype"/>
                <w:sz w:val="18"/>
                <w:szCs w:val="18"/>
              </w:rPr>
              <w:t xml:space="preserve">robleme teorike dhe të praktikës gjyqësore. </w:t>
            </w:r>
          </w:p>
          <w:p w:rsidR="00E11796" w:rsidRPr="00C4344F" w:rsidRDefault="00E11796" w:rsidP="00E11796">
            <w:pPr>
              <w:pStyle w:val="ListParagraph"/>
              <w:numPr>
                <w:ilvl w:val="0"/>
                <w:numId w:val="56"/>
              </w:numPr>
              <w:spacing w:after="0"/>
              <w:contextualSpacing/>
              <w:jc w:val="both"/>
              <w:rPr>
                <w:rFonts w:ascii="Palatino Linotype" w:hAnsi="Palatino Linotype"/>
                <w:sz w:val="18"/>
                <w:szCs w:val="18"/>
              </w:rPr>
            </w:pPr>
            <w:r>
              <w:rPr>
                <w:rFonts w:ascii="Palatino Linotype" w:hAnsi="Palatino Linotype"/>
                <w:sz w:val="18"/>
                <w:szCs w:val="18"/>
              </w:rPr>
              <w:t xml:space="preserve">Çështje ligjore dhe praktike në lidhje me </w:t>
            </w:r>
            <w:r w:rsidRPr="00C4344F">
              <w:rPr>
                <w:rFonts w:ascii="Palatino Linotype" w:hAnsi="Palatino Linotype"/>
                <w:sz w:val="18"/>
                <w:szCs w:val="18"/>
              </w:rPr>
              <w:t>rezervë</w:t>
            </w:r>
            <w:r>
              <w:rPr>
                <w:rFonts w:ascii="Palatino Linotype" w:hAnsi="Palatino Linotype"/>
                <w:sz w:val="18"/>
                <w:szCs w:val="18"/>
              </w:rPr>
              <w:t>n</w:t>
            </w:r>
            <w:r w:rsidRPr="00C4344F">
              <w:rPr>
                <w:rFonts w:ascii="Palatino Linotype" w:hAnsi="Palatino Linotype"/>
                <w:sz w:val="18"/>
                <w:szCs w:val="18"/>
              </w:rPr>
              <w:t xml:space="preserve"> ligjore.</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08</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pStyle w:val="ListParagraph"/>
              <w:spacing w:after="0"/>
              <w:ind w:left="0"/>
              <w:jc w:val="both"/>
              <w:rPr>
                <w:rFonts w:ascii="Palatino Linotype" w:hAnsi="Palatino Linotype"/>
                <w:sz w:val="18"/>
                <w:szCs w:val="18"/>
              </w:rPr>
            </w:pPr>
            <w:r>
              <w:rPr>
                <w:rFonts w:ascii="Palatino Linotype" w:hAnsi="Palatino Linotype"/>
                <w:sz w:val="18"/>
                <w:szCs w:val="18"/>
              </w:rPr>
              <w:t xml:space="preserve">Trashëgimia me ligj. </w:t>
            </w:r>
          </w:p>
          <w:p w:rsidR="00E11796" w:rsidRDefault="00E11796" w:rsidP="00E11796">
            <w:pPr>
              <w:pStyle w:val="ListParagraph"/>
              <w:numPr>
                <w:ilvl w:val="0"/>
                <w:numId w:val="58"/>
              </w:numPr>
              <w:spacing w:after="0"/>
              <w:contextualSpacing/>
              <w:jc w:val="both"/>
              <w:rPr>
                <w:rFonts w:ascii="Palatino Linotype" w:hAnsi="Palatino Linotype"/>
                <w:sz w:val="18"/>
                <w:szCs w:val="18"/>
              </w:rPr>
            </w:pPr>
            <w:r>
              <w:rPr>
                <w:rFonts w:ascii="Palatino Linotype" w:hAnsi="Palatino Linotype"/>
                <w:sz w:val="18"/>
                <w:szCs w:val="18"/>
              </w:rPr>
              <w:t>Mb</w:t>
            </w:r>
            <w:r w:rsidRPr="00A600FE">
              <w:rPr>
                <w:rFonts w:ascii="Palatino Linotype" w:hAnsi="Palatino Linotype"/>
                <w:sz w:val="18"/>
                <w:szCs w:val="18"/>
              </w:rPr>
              <w:t>rojtj</w:t>
            </w:r>
            <w:r>
              <w:rPr>
                <w:rFonts w:ascii="Palatino Linotype" w:hAnsi="Palatino Linotype"/>
                <w:sz w:val="18"/>
                <w:szCs w:val="18"/>
              </w:rPr>
              <w:t>a</w:t>
            </w:r>
            <w:r w:rsidRPr="00A600FE">
              <w:rPr>
                <w:rFonts w:ascii="Palatino Linotype" w:hAnsi="Palatino Linotype"/>
                <w:sz w:val="18"/>
                <w:szCs w:val="18"/>
              </w:rPr>
              <w:t xml:space="preserve"> e së drejtës së trashëgimisë. </w:t>
            </w:r>
          </w:p>
          <w:p w:rsidR="00E11796" w:rsidRPr="00A600FE" w:rsidRDefault="00E11796" w:rsidP="00E11796">
            <w:pPr>
              <w:pStyle w:val="ListParagraph"/>
              <w:numPr>
                <w:ilvl w:val="0"/>
                <w:numId w:val="58"/>
              </w:numPr>
              <w:spacing w:after="0"/>
              <w:contextualSpacing/>
              <w:jc w:val="both"/>
              <w:rPr>
                <w:rFonts w:ascii="Palatino Linotype" w:hAnsi="Palatino Linotype"/>
                <w:sz w:val="18"/>
                <w:szCs w:val="18"/>
              </w:rPr>
            </w:pPr>
            <w:r w:rsidRPr="00A600FE">
              <w:rPr>
                <w:rFonts w:ascii="Palatino Linotype" w:hAnsi="Palatino Linotype"/>
                <w:sz w:val="18"/>
                <w:szCs w:val="18"/>
              </w:rPr>
              <w:t>Padia për kërkimin e trashëgimit, kthimin e pasurisë trashëgimore, njohjen e trashëgimtarit, rastet dhe kushtet e ngritjes së tyre.</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09</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pStyle w:val="ListParagraph"/>
              <w:spacing w:after="0"/>
              <w:ind w:left="0"/>
              <w:jc w:val="both"/>
              <w:rPr>
                <w:rFonts w:ascii="Palatino Linotype" w:hAnsi="Palatino Linotype"/>
                <w:sz w:val="18"/>
                <w:szCs w:val="18"/>
              </w:rPr>
            </w:pPr>
            <w:r w:rsidRPr="00A600FE">
              <w:rPr>
                <w:rFonts w:ascii="Palatino Linotype" w:hAnsi="Palatino Linotype"/>
                <w:sz w:val="18"/>
                <w:szCs w:val="18"/>
                <w:lang w:val="it-IT"/>
              </w:rPr>
              <w:t>Titujt ekzekutivë në procedurën civile dhe titujt ekzekutivë në kuptimin e ligjit të posacëm</w:t>
            </w:r>
            <w:r>
              <w:rPr>
                <w:rFonts w:ascii="Palatino Linotype" w:hAnsi="Palatino Linotype"/>
                <w:sz w:val="18"/>
                <w:szCs w:val="18"/>
                <w:lang w:val="it-IT"/>
              </w:rPr>
              <w:t>.</w:t>
            </w:r>
          </w:p>
          <w:p w:rsidR="00E11796" w:rsidRDefault="00E11796" w:rsidP="00E11796">
            <w:pPr>
              <w:pStyle w:val="ListParagraph"/>
              <w:numPr>
                <w:ilvl w:val="0"/>
                <w:numId w:val="57"/>
              </w:numPr>
              <w:spacing w:after="0"/>
              <w:contextualSpacing/>
              <w:jc w:val="both"/>
              <w:rPr>
                <w:rFonts w:ascii="Palatino Linotype" w:hAnsi="Palatino Linotype"/>
                <w:sz w:val="18"/>
                <w:szCs w:val="18"/>
              </w:rPr>
            </w:pPr>
            <w:r w:rsidRPr="00C4344F">
              <w:rPr>
                <w:rFonts w:ascii="Palatino Linotype" w:hAnsi="Palatino Linotype"/>
                <w:sz w:val="18"/>
                <w:szCs w:val="18"/>
              </w:rPr>
              <w:t>Kundërshtimi i veprimeve përmbarimore dhe pavlefshmëria e titullit ekzekutiv.</w:t>
            </w:r>
          </w:p>
          <w:p w:rsidR="00E11796" w:rsidRDefault="00E11796" w:rsidP="00E11796">
            <w:pPr>
              <w:pStyle w:val="ListParagraph"/>
              <w:numPr>
                <w:ilvl w:val="0"/>
                <w:numId w:val="57"/>
              </w:numPr>
              <w:spacing w:after="0"/>
              <w:contextualSpacing/>
              <w:jc w:val="both"/>
              <w:rPr>
                <w:rFonts w:ascii="Palatino Linotype" w:hAnsi="Palatino Linotype"/>
                <w:sz w:val="18"/>
                <w:szCs w:val="18"/>
              </w:rPr>
            </w:pPr>
            <w:r>
              <w:rPr>
                <w:rFonts w:ascii="Palatino Linotype" w:hAnsi="Palatino Linotype"/>
                <w:sz w:val="18"/>
                <w:szCs w:val="18"/>
              </w:rPr>
              <w:t xml:space="preserve">Standartet </w:t>
            </w:r>
            <w:r w:rsidRPr="00C4344F">
              <w:rPr>
                <w:rFonts w:ascii="Palatino Linotype" w:hAnsi="Palatino Linotype"/>
                <w:sz w:val="18"/>
                <w:szCs w:val="18"/>
              </w:rPr>
              <w:t xml:space="preserve">sipas nenit 6 të KEDNJ-së </w:t>
            </w:r>
            <w:r>
              <w:rPr>
                <w:rFonts w:ascii="Palatino Linotype" w:hAnsi="Palatino Linotype"/>
                <w:sz w:val="18"/>
                <w:szCs w:val="18"/>
              </w:rPr>
              <w:t>dhe jurisprudenca e GJEDNJ-së, lidhur me e</w:t>
            </w:r>
            <w:r w:rsidRPr="00C4344F">
              <w:rPr>
                <w:rFonts w:ascii="Palatino Linotype" w:hAnsi="Palatino Linotype"/>
                <w:sz w:val="18"/>
                <w:szCs w:val="18"/>
              </w:rPr>
              <w:t>kzekutimi</w:t>
            </w:r>
            <w:r>
              <w:rPr>
                <w:rFonts w:ascii="Palatino Linotype" w:hAnsi="Palatino Linotype"/>
                <w:sz w:val="18"/>
                <w:szCs w:val="18"/>
              </w:rPr>
              <w:t>ne</w:t>
            </w:r>
            <w:r w:rsidRPr="00C4344F">
              <w:rPr>
                <w:rFonts w:ascii="Palatino Linotype" w:hAnsi="Palatino Linotype"/>
                <w:sz w:val="18"/>
                <w:szCs w:val="18"/>
              </w:rPr>
              <w:t xml:space="preserve"> vendimeve të formës së prerë brenda një afati të arsyeshëm. </w:t>
            </w:r>
          </w:p>
          <w:p w:rsidR="00E11796" w:rsidRPr="00C4344F" w:rsidRDefault="00E11796" w:rsidP="00E11796">
            <w:pPr>
              <w:pStyle w:val="ListParagraph"/>
              <w:numPr>
                <w:ilvl w:val="0"/>
                <w:numId w:val="57"/>
              </w:numPr>
              <w:spacing w:after="0"/>
              <w:contextualSpacing/>
              <w:jc w:val="both"/>
              <w:rPr>
                <w:rFonts w:ascii="Palatino Linotype" w:hAnsi="Palatino Linotype"/>
                <w:sz w:val="18"/>
                <w:szCs w:val="18"/>
              </w:rPr>
            </w:pPr>
            <w:r w:rsidRPr="00C4344F">
              <w:rPr>
                <w:rFonts w:ascii="Palatino Linotype" w:hAnsi="Palatino Linotype"/>
                <w:sz w:val="18"/>
                <w:szCs w:val="18"/>
                <w:lang w:val="it-IT"/>
              </w:rPr>
              <w:t>Aktet e dhënies së kredisë bankare si Titull Ekzekutiv dhe nocioni i Urdhërit të Ekzekutimit i lidhur me te – problematika ligjore e ndeshur gjatë praktikës gjyqësore të lëshimit dhe kundërshtimit të Urdhërit të Ekzekutimit.</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 xml:space="preserve">A </w:t>
            </w:r>
            <w:r>
              <w:rPr>
                <w:rFonts w:ascii="Palatino Linotype" w:hAnsi="Palatino Linotype"/>
                <w:b/>
                <w:sz w:val="18"/>
                <w:szCs w:val="18"/>
              </w:rPr>
              <w:t>10</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pStyle w:val="ListParagraph"/>
              <w:spacing w:after="0"/>
              <w:ind w:left="0"/>
              <w:jc w:val="both"/>
              <w:rPr>
                <w:rFonts w:ascii="Palatino Linotype" w:hAnsi="Palatino Linotype"/>
                <w:sz w:val="18"/>
                <w:szCs w:val="18"/>
                <w:lang w:val="it-IT"/>
              </w:rPr>
            </w:pPr>
            <w:r w:rsidRPr="00A600FE">
              <w:rPr>
                <w:rFonts w:ascii="Palatino Linotype" w:hAnsi="Palatino Linotype"/>
                <w:sz w:val="18"/>
                <w:szCs w:val="18"/>
                <w:lang w:val="it-IT"/>
              </w:rPr>
              <w:t xml:space="preserve">Masat e sigurimit civil të padisë. </w:t>
            </w:r>
          </w:p>
          <w:p w:rsidR="00E11796" w:rsidRDefault="00E11796" w:rsidP="00E11796">
            <w:pPr>
              <w:pStyle w:val="ListParagraph"/>
              <w:numPr>
                <w:ilvl w:val="0"/>
                <w:numId w:val="60"/>
              </w:numPr>
              <w:spacing w:after="0"/>
              <w:contextualSpacing/>
              <w:jc w:val="both"/>
              <w:rPr>
                <w:rFonts w:ascii="Palatino Linotype" w:hAnsi="Palatino Linotype"/>
                <w:sz w:val="18"/>
                <w:szCs w:val="18"/>
                <w:lang w:val="it-IT"/>
              </w:rPr>
            </w:pPr>
            <w:r>
              <w:rPr>
                <w:rFonts w:ascii="Palatino Linotype" w:hAnsi="Palatino Linotype"/>
                <w:sz w:val="18"/>
                <w:szCs w:val="18"/>
                <w:lang w:val="it-IT"/>
              </w:rPr>
              <w:t xml:space="preserve">Trajtim integral i </w:t>
            </w:r>
            <w:r w:rsidRPr="00A600FE">
              <w:rPr>
                <w:rFonts w:ascii="Palatino Linotype" w:hAnsi="Palatino Linotype"/>
                <w:sz w:val="18"/>
                <w:szCs w:val="18"/>
                <w:lang w:val="it-IT"/>
              </w:rPr>
              <w:t>dispozitave të K.Pr.Civile që rregullojnë ekzekutimin e detyrueshëm</w:t>
            </w:r>
            <w:r>
              <w:rPr>
                <w:rFonts w:ascii="Palatino Linotype" w:hAnsi="Palatino Linotype"/>
                <w:sz w:val="18"/>
                <w:szCs w:val="18"/>
                <w:lang w:val="it-IT"/>
              </w:rPr>
              <w:t>.</w:t>
            </w:r>
          </w:p>
          <w:p w:rsidR="00E11796" w:rsidRDefault="00E11796" w:rsidP="00E11796">
            <w:pPr>
              <w:pStyle w:val="ListParagraph"/>
              <w:numPr>
                <w:ilvl w:val="0"/>
                <w:numId w:val="60"/>
              </w:numPr>
              <w:spacing w:after="0"/>
              <w:contextualSpacing/>
              <w:jc w:val="both"/>
              <w:rPr>
                <w:rFonts w:ascii="Palatino Linotype" w:hAnsi="Palatino Linotype"/>
                <w:sz w:val="18"/>
                <w:szCs w:val="18"/>
                <w:lang w:val="it-IT"/>
              </w:rPr>
            </w:pPr>
            <w:r w:rsidRPr="00A600FE">
              <w:rPr>
                <w:rFonts w:ascii="Palatino Linotype" w:hAnsi="Palatino Linotype"/>
                <w:sz w:val="18"/>
                <w:szCs w:val="18"/>
                <w:lang w:val="it-IT"/>
              </w:rPr>
              <w:t xml:space="preserve">Praktika gjyqësore dhe ajo unifikuese në lidhje me masat e sigurimit të padisë. </w:t>
            </w:r>
            <w:r w:rsidRPr="002E67F3">
              <w:rPr>
                <w:rFonts w:ascii="Palatino Linotype" w:hAnsi="Palatino Linotype"/>
                <w:sz w:val="18"/>
                <w:szCs w:val="18"/>
                <w:lang w:val="it-IT"/>
              </w:rPr>
              <w:t xml:space="preserve">Ankimi në rastin e </w:t>
            </w:r>
            <w:r>
              <w:rPr>
                <w:rFonts w:ascii="Palatino Linotype" w:hAnsi="Palatino Linotype"/>
                <w:sz w:val="18"/>
                <w:szCs w:val="18"/>
                <w:lang w:val="it-IT"/>
              </w:rPr>
              <w:t>rrëzimit të masës së sigurimit.</w:t>
            </w:r>
          </w:p>
          <w:p w:rsidR="00E11796" w:rsidRPr="00EF44BD" w:rsidRDefault="00E11796" w:rsidP="00E11796">
            <w:pPr>
              <w:pStyle w:val="ListParagraph"/>
              <w:numPr>
                <w:ilvl w:val="0"/>
                <w:numId w:val="60"/>
              </w:numPr>
              <w:spacing w:after="0"/>
              <w:contextualSpacing/>
              <w:jc w:val="both"/>
              <w:rPr>
                <w:rFonts w:ascii="Palatino Linotype" w:hAnsi="Palatino Linotype"/>
                <w:sz w:val="18"/>
                <w:szCs w:val="18"/>
              </w:rPr>
            </w:pPr>
            <w:r w:rsidRPr="002E67F3">
              <w:rPr>
                <w:rFonts w:ascii="Palatino Linotype" w:hAnsi="Palatino Linotype"/>
                <w:sz w:val="18"/>
                <w:szCs w:val="18"/>
                <w:lang w:val="it-IT"/>
              </w:rPr>
              <w:t>Aplikimi për rastet e proçedurave përmbarimore për ekzekutimin e kontratave të kredive bankare.</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11</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pStyle w:val="ListParagraph"/>
              <w:spacing w:after="0"/>
              <w:ind w:left="0"/>
              <w:jc w:val="both"/>
              <w:rPr>
                <w:rFonts w:ascii="Palatino Linotype" w:hAnsi="Palatino Linotype"/>
                <w:sz w:val="18"/>
                <w:szCs w:val="18"/>
              </w:rPr>
            </w:pPr>
            <w:r w:rsidRPr="00A600FE">
              <w:rPr>
                <w:rFonts w:ascii="Palatino Linotype" w:hAnsi="Palatino Linotype"/>
                <w:sz w:val="18"/>
                <w:szCs w:val="18"/>
              </w:rPr>
              <w:t>Letërporosia në fushën civile, në të drejtën e brendshme dhe në të drejtën ndërkombët</w:t>
            </w:r>
            <w:r>
              <w:rPr>
                <w:rFonts w:ascii="Palatino Linotype" w:hAnsi="Palatino Linotype"/>
                <w:sz w:val="18"/>
                <w:szCs w:val="18"/>
              </w:rPr>
              <w:t>a</w:t>
            </w:r>
            <w:r w:rsidRPr="00A600FE">
              <w:rPr>
                <w:rFonts w:ascii="Palatino Linotype" w:hAnsi="Palatino Linotype"/>
                <w:sz w:val="18"/>
                <w:szCs w:val="18"/>
              </w:rPr>
              <w:t xml:space="preserve">re private. </w:t>
            </w:r>
          </w:p>
          <w:p w:rsidR="00E11796" w:rsidRDefault="00E11796" w:rsidP="00E11796">
            <w:pPr>
              <w:pStyle w:val="ListParagraph"/>
              <w:numPr>
                <w:ilvl w:val="0"/>
                <w:numId w:val="59"/>
              </w:numPr>
              <w:spacing w:after="0"/>
              <w:contextualSpacing/>
              <w:jc w:val="both"/>
              <w:rPr>
                <w:rFonts w:ascii="Palatino Linotype" w:hAnsi="Palatino Linotype"/>
                <w:sz w:val="18"/>
                <w:szCs w:val="18"/>
              </w:rPr>
            </w:pPr>
            <w:r>
              <w:rPr>
                <w:rFonts w:ascii="Palatino Linotype" w:hAnsi="Palatino Linotype"/>
                <w:sz w:val="18"/>
                <w:szCs w:val="18"/>
              </w:rPr>
              <w:t>Marrja e provës me</w:t>
            </w:r>
            <w:r w:rsidRPr="00A600FE">
              <w:rPr>
                <w:rFonts w:ascii="Palatino Linotype" w:hAnsi="Palatino Linotype"/>
                <w:sz w:val="18"/>
                <w:szCs w:val="18"/>
              </w:rPr>
              <w:t xml:space="preserve"> anë të letërporosisë. Problemet teorike dhe praktike të </w:t>
            </w:r>
            <w:r>
              <w:rPr>
                <w:rFonts w:ascii="Palatino Linotype" w:hAnsi="Palatino Linotype"/>
                <w:sz w:val="18"/>
                <w:szCs w:val="18"/>
              </w:rPr>
              <w:t>g</w:t>
            </w:r>
            <w:r w:rsidRPr="00A600FE">
              <w:rPr>
                <w:rFonts w:ascii="Palatino Linotype" w:hAnsi="Palatino Linotype"/>
                <w:sz w:val="18"/>
                <w:szCs w:val="18"/>
              </w:rPr>
              <w:t>jyqësor</w:t>
            </w:r>
            <w:r>
              <w:rPr>
                <w:rFonts w:ascii="Palatino Linotype" w:hAnsi="Palatino Linotype"/>
                <w:sz w:val="18"/>
                <w:szCs w:val="18"/>
              </w:rPr>
              <w:t xml:space="preserve">itshqiptar në </w:t>
            </w:r>
            <w:r w:rsidRPr="00A600FE">
              <w:rPr>
                <w:rFonts w:ascii="Palatino Linotype" w:hAnsi="Palatino Linotype"/>
                <w:sz w:val="18"/>
                <w:szCs w:val="18"/>
              </w:rPr>
              <w:t>të drejtën ndërkombëtare private në lidhje me letërporosinë.</w:t>
            </w:r>
          </w:p>
          <w:p w:rsidR="00E11796" w:rsidRPr="00A600FE" w:rsidRDefault="00E11796" w:rsidP="00E11796">
            <w:pPr>
              <w:pStyle w:val="ListParagraph"/>
              <w:numPr>
                <w:ilvl w:val="0"/>
                <w:numId w:val="59"/>
              </w:numPr>
              <w:spacing w:after="0"/>
              <w:contextualSpacing/>
              <w:jc w:val="both"/>
              <w:rPr>
                <w:rFonts w:ascii="Palatino Linotype" w:hAnsi="Palatino Linotype"/>
                <w:sz w:val="18"/>
                <w:szCs w:val="18"/>
              </w:rPr>
            </w:pPr>
            <w:r>
              <w:rPr>
                <w:rFonts w:ascii="Palatino Linotype" w:hAnsi="Palatino Linotype"/>
                <w:sz w:val="18"/>
                <w:szCs w:val="18"/>
              </w:rPr>
              <w:t>F</w:t>
            </w:r>
            <w:r w:rsidRPr="002E67F3">
              <w:rPr>
                <w:rFonts w:ascii="Palatino Linotype" w:hAnsi="Palatino Linotype"/>
                <w:sz w:val="18"/>
                <w:szCs w:val="18"/>
              </w:rPr>
              <w:t>ormate</w:t>
            </w:r>
            <w:r>
              <w:rPr>
                <w:rFonts w:ascii="Palatino Linotype" w:hAnsi="Palatino Linotype"/>
                <w:sz w:val="18"/>
                <w:szCs w:val="18"/>
              </w:rPr>
              <w:t>t</w:t>
            </w:r>
            <w:r w:rsidRPr="002E67F3">
              <w:rPr>
                <w:rFonts w:ascii="Palatino Linotype" w:hAnsi="Palatino Linotype"/>
                <w:sz w:val="18"/>
                <w:szCs w:val="18"/>
              </w:rPr>
              <w:t xml:space="preserve"> model dhe të standartizuara të letërporosive.</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12</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pStyle w:val="ListParagraph"/>
              <w:spacing w:after="0"/>
              <w:ind w:left="0"/>
              <w:jc w:val="both"/>
              <w:rPr>
                <w:rFonts w:ascii="Palatino Linotype" w:hAnsi="Palatino Linotype"/>
                <w:sz w:val="18"/>
                <w:szCs w:val="18"/>
              </w:rPr>
            </w:pPr>
            <w:r>
              <w:rPr>
                <w:rFonts w:ascii="Palatino Linotype" w:hAnsi="Palatino Linotype"/>
                <w:sz w:val="18"/>
                <w:szCs w:val="18"/>
              </w:rPr>
              <w:t xml:space="preserve">Kontratat administrative </w:t>
            </w:r>
            <w:r w:rsidRPr="00A600FE">
              <w:rPr>
                <w:rFonts w:ascii="Palatino Linotype" w:hAnsi="Palatino Linotype"/>
                <w:sz w:val="18"/>
                <w:szCs w:val="18"/>
              </w:rPr>
              <w:t xml:space="preserve">e civile </w:t>
            </w:r>
            <w:r>
              <w:rPr>
                <w:rFonts w:ascii="Palatino Linotype" w:hAnsi="Palatino Linotype"/>
                <w:sz w:val="18"/>
                <w:szCs w:val="18"/>
              </w:rPr>
              <w:t>dhe shqyrtimii</w:t>
            </w:r>
            <w:r w:rsidRPr="00A600FE">
              <w:rPr>
                <w:rFonts w:ascii="Palatino Linotype" w:hAnsi="Palatino Linotype"/>
                <w:sz w:val="18"/>
                <w:szCs w:val="18"/>
              </w:rPr>
              <w:t xml:space="preserve"> tyre në arbitrazhin ndërkombëtar dhe vendas.</w:t>
            </w:r>
          </w:p>
          <w:p w:rsidR="00E11796" w:rsidRDefault="00E11796" w:rsidP="00E11796">
            <w:pPr>
              <w:pStyle w:val="ListParagraph"/>
              <w:numPr>
                <w:ilvl w:val="0"/>
                <w:numId w:val="61"/>
              </w:numPr>
              <w:spacing w:after="0"/>
              <w:contextualSpacing/>
              <w:jc w:val="both"/>
              <w:rPr>
                <w:rFonts w:ascii="Palatino Linotype" w:hAnsi="Palatino Linotype"/>
                <w:sz w:val="18"/>
                <w:szCs w:val="18"/>
              </w:rPr>
            </w:pPr>
            <w:r>
              <w:rPr>
                <w:rFonts w:ascii="Palatino Linotype" w:hAnsi="Palatino Linotype"/>
                <w:sz w:val="18"/>
                <w:szCs w:val="18"/>
              </w:rPr>
              <w:t>Zgjidhja e konflikteve përmes arbitrazhit.</w:t>
            </w:r>
          </w:p>
          <w:p w:rsidR="00E11796" w:rsidRPr="00A600FE" w:rsidRDefault="00E11796" w:rsidP="00E11796">
            <w:pPr>
              <w:pStyle w:val="ListParagraph"/>
              <w:numPr>
                <w:ilvl w:val="0"/>
                <w:numId w:val="61"/>
              </w:numPr>
              <w:spacing w:after="0"/>
              <w:contextualSpacing/>
              <w:jc w:val="both"/>
              <w:rPr>
                <w:rFonts w:ascii="Palatino Linotype" w:hAnsi="Palatino Linotype"/>
                <w:sz w:val="18"/>
                <w:szCs w:val="18"/>
              </w:rPr>
            </w:pPr>
            <w:r>
              <w:rPr>
                <w:rFonts w:ascii="Palatino Linotype" w:hAnsi="Palatino Linotype"/>
                <w:sz w:val="18"/>
                <w:szCs w:val="18"/>
              </w:rPr>
              <w:t xml:space="preserve">Ankimi i </w:t>
            </w:r>
            <w:r w:rsidRPr="00A600FE">
              <w:rPr>
                <w:rFonts w:ascii="Palatino Linotype" w:hAnsi="Palatino Linotype"/>
                <w:sz w:val="18"/>
                <w:szCs w:val="18"/>
              </w:rPr>
              <w:t>vendime</w:t>
            </w:r>
            <w:r>
              <w:rPr>
                <w:rFonts w:ascii="Palatino Linotype" w:hAnsi="Palatino Linotype"/>
                <w:sz w:val="18"/>
                <w:szCs w:val="18"/>
              </w:rPr>
              <w:t>vetë</w:t>
            </w:r>
            <w:r w:rsidRPr="00A600FE">
              <w:rPr>
                <w:rFonts w:ascii="Palatino Linotype" w:hAnsi="Palatino Linotype"/>
                <w:sz w:val="18"/>
                <w:szCs w:val="18"/>
              </w:rPr>
              <w:t xml:space="preserve"> arbitrazhit </w:t>
            </w:r>
            <w:r>
              <w:rPr>
                <w:rFonts w:ascii="Palatino Linotype" w:hAnsi="Palatino Linotype"/>
                <w:sz w:val="18"/>
                <w:szCs w:val="18"/>
              </w:rPr>
              <w:t>në</w:t>
            </w:r>
            <w:r w:rsidRPr="00A600FE">
              <w:rPr>
                <w:rFonts w:ascii="Palatino Linotype" w:hAnsi="Palatino Linotype"/>
                <w:sz w:val="18"/>
                <w:szCs w:val="18"/>
              </w:rPr>
              <w:t xml:space="preserve"> Gjykatën e Apelit.</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13</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pStyle w:val="ListParagraph"/>
              <w:spacing w:after="0"/>
              <w:ind w:left="0"/>
              <w:jc w:val="both"/>
              <w:rPr>
                <w:rFonts w:ascii="Palatino Linotype" w:hAnsi="Palatino Linotype"/>
                <w:sz w:val="18"/>
                <w:szCs w:val="18"/>
              </w:rPr>
            </w:pPr>
            <w:r w:rsidRPr="00A600FE">
              <w:rPr>
                <w:rFonts w:ascii="Palatino Linotype" w:hAnsi="Palatino Linotype"/>
                <w:sz w:val="18"/>
                <w:szCs w:val="18"/>
              </w:rPr>
              <w:t xml:space="preserve">Kontrata e sipërmarrjes në fushën e ndërtimeve. </w:t>
            </w:r>
          </w:p>
          <w:p w:rsidR="00E11796" w:rsidRDefault="00E11796" w:rsidP="00E11796">
            <w:pPr>
              <w:pStyle w:val="ListParagraph"/>
              <w:numPr>
                <w:ilvl w:val="0"/>
                <w:numId w:val="62"/>
              </w:numPr>
              <w:spacing w:after="0"/>
              <w:contextualSpacing/>
              <w:jc w:val="both"/>
              <w:rPr>
                <w:rFonts w:ascii="Palatino Linotype" w:hAnsi="Palatino Linotype"/>
                <w:sz w:val="18"/>
                <w:szCs w:val="18"/>
              </w:rPr>
            </w:pPr>
            <w:r>
              <w:rPr>
                <w:rFonts w:ascii="Palatino Linotype" w:hAnsi="Palatino Linotype"/>
                <w:sz w:val="18"/>
                <w:szCs w:val="18"/>
              </w:rPr>
              <w:t>Dallimi i saj nga kontratat e p</w:t>
            </w:r>
            <w:r w:rsidRPr="00A600FE">
              <w:rPr>
                <w:rFonts w:ascii="Palatino Linotype" w:hAnsi="Palatino Linotype"/>
                <w:sz w:val="18"/>
                <w:szCs w:val="18"/>
              </w:rPr>
              <w:t>o</w:t>
            </w:r>
            <w:r>
              <w:rPr>
                <w:rFonts w:ascii="Palatino Linotype" w:hAnsi="Palatino Linotype"/>
                <w:sz w:val="18"/>
                <w:szCs w:val="18"/>
              </w:rPr>
              <w:t>ro</w:t>
            </w:r>
            <w:r w:rsidRPr="00A600FE">
              <w:rPr>
                <w:rFonts w:ascii="Palatino Linotype" w:hAnsi="Palatino Linotype"/>
                <w:sz w:val="18"/>
                <w:szCs w:val="18"/>
              </w:rPr>
              <w:t xml:space="preserve">sisë. </w:t>
            </w:r>
          </w:p>
          <w:p w:rsidR="00E11796" w:rsidRDefault="00E11796" w:rsidP="00E11796">
            <w:pPr>
              <w:pStyle w:val="ListParagraph"/>
              <w:numPr>
                <w:ilvl w:val="0"/>
                <w:numId w:val="62"/>
              </w:numPr>
              <w:spacing w:after="0"/>
              <w:contextualSpacing/>
              <w:jc w:val="both"/>
              <w:rPr>
                <w:rFonts w:ascii="Palatino Linotype" w:hAnsi="Palatino Linotype"/>
                <w:sz w:val="18"/>
                <w:szCs w:val="18"/>
              </w:rPr>
            </w:pPr>
            <w:r w:rsidRPr="00A600FE">
              <w:rPr>
                <w:rFonts w:ascii="Palatino Linotype" w:hAnsi="Palatino Linotype"/>
                <w:sz w:val="18"/>
                <w:szCs w:val="18"/>
              </w:rPr>
              <w:t xml:space="preserve">Risku i sipërmarrjes dhe format e tij. </w:t>
            </w:r>
          </w:p>
          <w:p w:rsidR="00E11796" w:rsidRDefault="00E11796" w:rsidP="00E11796">
            <w:pPr>
              <w:pStyle w:val="ListParagraph"/>
              <w:numPr>
                <w:ilvl w:val="0"/>
                <w:numId w:val="62"/>
              </w:numPr>
              <w:spacing w:after="0"/>
              <w:contextualSpacing/>
              <w:jc w:val="both"/>
              <w:rPr>
                <w:rFonts w:ascii="Palatino Linotype" w:hAnsi="Palatino Linotype"/>
                <w:sz w:val="18"/>
                <w:szCs w:val="18"/>
              </w:rPr>
            </w:pPr>
            <w:r w:rsidRPr="00A600FE">
              <w:rPr>
                <w:rFonts w:ascii="Palatino Linotype" w:hAnsi="Palatino Linotype"/>
                <w:sz w:val="18"/>
                <w:szCs w:val="18"/>
              </w:rPr>
              <w:t xml:space="preserve">Kalimi i pronësisë për sipërmarrjet në ndërtimin e sendeve të paluajtshme. </w:t>
            </w:r>
          </w:p>
          <w:p w:rsidR="00E11796" w:rsidRPr="00A600FE" w:rsidRDefault="00E11796" w:rsidP="00E11796">
            <w:pPr>
              <w:pStyle w:val="ListParagraph"/>
              <w:numPr>
                <w:ilvl w:val="0"/>
                <w:numId w:val="62"/>
              </w:numPr>
              <w:spacing w:after="0"/>
              <w:contextualSpacing/>
              <w:jc w:val="both"/>
              <w:rPr>
                <w:rFonts w:ascii="Palatino Linotype" w:hAnsi="Palatino Linotype"/>
                <w:sz w:val="18"/>
                <w:szCs w:val="18"/>
              </w:rPr>
            </w:pPr>
            <w:r w:rsidRPr="00A600FE">
              <w:rPr>
                <w:rFonts w:ascii="Palatino Linotype" w:hAnsi="Palatino Linotype"/>
                <w:sz w:val="18"/>
                <w:szCs w:val="18"/>
              </w:rPr>
              <w:t>Praktika gjyqësore lidhur me përmbushjen e detyrimeve nga kontrata e sipërmarrjes.</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14</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pStyle w:val="ListParagraph"/>
              <w:spacing w:after="0"/>
              <w:ind w:left="0"/>
              <w:jc w:val="both"/>
              <w:rPr>
                <w:rFonts w:ascii="Palatino Linotype" w:hAnsi="Palatino Linotype"/>
                <w:sz w:val="18"/>
                <w:szCs w:val="18"/>
              </w:rPr>
            </w:pPr>
            <w:r>
              <w:rPr>
                <w:rFonts w:ascii="Palatino Linotype" w:hAnsi="Palatino Linotype"/>
                <w:sz w:val="18"/>
                <w:szCs w:val="18"/>
              </w:rPr>
              <w:t xml:space="preserve">Problematika që përcillet në gjyqësorin shqiptar në lidhje me zbatimin e </w:t>
            </w:r>
            <w:r w:rsidRPr="00A600FE">
              <w:rPr>
                <w:rFonts w:ascii="Palatino Linotype" w:hAnsi="Palatino Linotype"/>
                <w:sz w:val="18"/>
                <w:szCs w:val="18"/>
              </w:rPr>
              <w:t>legj</w:t>
            </w:r>
            <w:r>
              <w:rPr>
                <w:rFonts w:ascii="Palatino Linotype" w:hAnsi="Palatino Linotype"/>
                <w:sz w:val="18"/>
                <w:szCs w:val="18"/>
              </w:rPr>
              <w:t>islacionit në fushën e doganave</w:t>
            </w:r>
            <w:r w:rsidRPr="00A600FE">
              <w:rPr>
                <w:rFonts w:ascii="Palatino Linotype" w:hAnsi="Palatino Linotype"/>
                <w:sz w:val="18"/>
                <w:szCs w:val="18"/>
              </w:rPr>
              <w:t>.</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15</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 xml:space="preserve">Problematika që përcillet në gjyqësorin shqiptar në lidhje melegjislacionin në fushën e </w:t>
            </w:r>
            <w:r w:rsidRPr="00A600FE">
              <w:rPr>
                <w:rFonts w:ascii="Palatino Linotype" w:hAnsi="Palatino Linotype"/>
                <w:sz w:val="18"/>
                <w:szCs w:val="18"/>
              </w:rPr>
              <w:t>tatime</w:t>
            </w:r>
            <w:r>
              <w:rPr>
                <w:rFonts w:ascii="Palatino Linotype" w:hAnsi="Palatino Linotype"/>
                <w:sz w:val="18"/>
                <w:szCs w:val="18"/>
              </w:rPr>
              <w:t>ve.</w:t>
            </w:r>
          </w:p>
          <w:p w:rsidR="00E11796" w:rsidRDefault="00E11796" w:rsidP="00E11796">
            <w:pPr>
              <w:numPr>
                <w:ilvl w:val="0"/>
                <w:numId w:val="63"/>
              </w:numPr>
              <w:spacing w:after="0" w:line="240" w:lineRule="auto"/>
              <w:jc w:val="both"/>
              <w:rPr>
                <w:rFonts w:ascii="Palatino Linotype" w:hAnsi="Palatino Linotype"/>
                <w:sz w:val="18"/>
                <w:szCs w:val="18"/>
              </w:rPr>
            </w:pPr>
            <w:r>
              <w:rPr>
                <w:rFonts w:ascii="Palatino Linotype" w:hAnsi="Palatino Linotype"/>
                <w:sz w:val="18"/>
                <w:szCs w:val="18"/>
              </w:rPr>
              <w:t>Apektet ligjore.</w:t>
            </w:r>
          </w:p>
          <w:p w:rsidR="00E11796" w:rsidRPr="00A600FE" w:rsidRDefault="00E11796" w:rsidP="00E11796">
            <w:pPr>
              <w:numPr>
                <w:ilvl w:val="0"/>
                <w:numId w:val="63"/>
              </w:numPr>
              <w:spacing w:after="0" w:line="240" w:lineRule="auto"/>
              <w:jc w:val="both"/>
              <w:rPr>
                <w:rFonts w:ascii="Palatino Linotype" w:hAnsi="Palatino Linotype"/>
                <w:sz w:val="18"/>
                <w:szCs w:val="18"/>
              </w:rPr>
            </w:pPr>
            <w:r>
              <w:rPr>
                <w:rFonts w:ascii="Palatino Linotype" w:hAnsi="Palatino Linotype"/>
                <w:sz w:val="18"/>
                <w:szCs w:val="18"/>
              </w:rPr>
              <w:t xml:space="preserve">Aspektet praktike, jurisprudenca e </w:t>
            </w:r>
            <w:r w:rsidRPr="00A600FE">
              <w:rPr>
                <w:rFonts w:ascii="Palatino Linotype" w:hAnsi="Palatino Linotype"/>
                <w:sz w:val="18"/>
                <w:szCs w:val="18"/>
              </w:rPr>
              <w:t>GjL</w:t>
            </w:r>
            <w:r>
              <w:rPr>
                <w:rFonts w:ascii="Palatino Linotype" w:hAnsi="Palatino Linotype"/>
                <w:sz w:val="18"/>
                <w:szCs w:val="18"/>
              </w:rPr>
              <w:t>-së</w:t>
            </w:r>
            <w:r w:rsidRPr="00A600FE">
              <w:rPr>
                <w:rFonts w:ascii="Palatino Linotype" w:hAnsi="Palatino Linotype"/>
                <w:sz w:val="18"/>
                <w:szCs w:val="18"/>
              </w:rPr>
              <w:t xml:space="preserve">. </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A 1</w:t>
            </w:r>
            <w:r>
              <w:rPr>
                <w:rFonts w:ascii="Palatino Linotype" w:hAnsi="Palatino Linotype"/>
                <w:b/>
                <w:sz w:val="18"/>
                <w:szCs w:val="18"/>
              </w:rPr>
              <w:t>6</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E drejta e pronës</w:t>
            </w:r>
            <w:r>
              <w:rPr>
                <w:rFonts w:ascii="Palatino Linotype" w:hAnsi="Palatino Linotype"/>
                <w:sz w:val="18"/>
                <w:szCs w:val="18"/>
              </w:rPr>
              <w:t>.L</w:t>
            </w:r>
            <w:r w:rsidRPr="00A600FE">
              <w:rPr>
                <w:rFonts w:ascii="Palatino Linotype" w:hAnsi="Palatino Linotype"/>
                <w:sz w:val="18"/>
                <w:szCs w:val="18"/>
              </w:rPr>
              <w:t>egjislacioni shqiptar dhe jurispudenc</w:t>
            </w:r>
            <w:r>
              <w:rPr>
                <w:rFonts w:ascii="Palatino Linotype" w:hAnsi="Palatino Linotype"/>
                <w:sz w:val="18"/>
                <w:szCs w:val="18"/>
              </w:rPr>
              <w:t>a</w:t>
            </w:r>
            <w:r w:rsidRPr="00A600FE">
              <w:rPr>
                <w:rFonts w:ascii="Palatino Linotype" w:hAnsi="Palatino Linotype"/>
                <w:sz w:val="18"/>
                <w:szCs w:val="18"/>
              </w:rPr>
              <w:t xml:space="preserve"> së GJEDNJ</w:t>
            </w:r>
            <w:r>
              <w:rPr>
                <w:rFonts w:ascii="Palatino Linotype" w:hAnsi="Palatino Linotype"/>
                <w:sz w:val="18"/>
                <w:szCs w:val="18"/>
              </w:rPr>
              <w:t>-së</w:t>
            </w:r>
            <w:r w:rsidRPr="00A600FE">
              <w:rPr>
                <w:rFonts w:ascii="Palatino Linotype" w:hAnsi="Palatino Linotype"/>
                <w:sz w:val="18"/>
                <w:szCs w:val="18"/>
              </w:rPr>
              <w:t xml:space="preserve">. </w:t>
            </w:r>
          </w:p>
          <w:p w:rsidR="00E11796" w:rsidRDefault="00E11796" w:rsidP="00E11796">
            <w:pPr>
              <w:numPr>
                <w:ilvl w:val="0"/>
                <w:numId w:val="65"/>
              </w:numPr>
              <w:spacing w:after="0" w:line="240" w:lineRule="auto"/>
              <w:jc w:val="both"/>
              <w:rPr>
                <w:rFonts w:ascii="Palatino Linotype" w:hAnsi="Palatino Linotype"/>
                <w:sz w:val="18"/>
                <w:szCs w:val="18"/>
              </w:rPr>
            </w:pPr>
            <w:r>
              <w:rPr>
                <w:rFonts w:ascii="Palatino Linotype" w:hAnsi="Palatino Linotype"/>
                <w:sz w:val="18"/>
                <w:szCs w:val="18"/>
              </w:rPr>
              <w:t>Ndërthurja e legjislacionit</w:t>
            </w:r>
            <w:r w:rsidRPr="00A600FE">
              <w:rPr>
                <w:rFonts w:ascii="Palatino Linotype" w:hAnsi="Palatino Linotype"/>
                <w:sz w:val="18"/>
                <w:szCs w:val="18"/>
              </w:rPr>
              <w:t xml:space="preserve"> për kthimin e pronës me legjislacionin për legalizimin dhe urbanizimin e ndërtimeve paleje</w:t>
            </w:r>
            <w:r>
              <w:rPr>
                <w:rFonts w:ascii="Palatino Linotype" w:hAnsi="Palatino Linotype"/>
                <w:sz w:val="18"/>
                <w:szCs w:val="18"/>
              </w:rPr>
              <w:t>.</w:t>
            </w:r>
          </w:p>
          <w:p w:rsidR="00E11796" w:rsidRDefault="00E11796" w:rsidP="00E11796">
            <w:pPr>
              <w:numPr>
                <w:ilvl w:val="0"/>
                <w:numId w:val="65"/>
              </w:numPr>
              <w:spacing w:after="0" w:line="240" w:lineRule="auto"/>
              <w:jc w:val="both"/>
              <w:rPr>
                <w:rFonts w:ascii="Palatino Linotype" w:hAnsi="Palatino Linotype"/>
                <w:sz w:val="18"/>
                <w:szCs w:val="18"/>
              </w:rPr>
            </w:pPr>
            <w:r w:rsidRPr="00A600FE">
              <w:rPr>
                <w:rFonts w:ascii="Palatino Linotype" w:hAnsi="Palatino Linotype"/>
                <w:sz w:val="18"/>
                <w:szCs w:val="18"/>
              </w:rPr>
              <w:t>Regjistrimi</w:t>
            </w:r>
            <w:r>
              <w:rPr>
                <w:rFonts w:ascii="Palatino Linotype" w:hAnsi="Palatino Linotype"/>
                <w:sz w:val="18"/>
                <w:szCs w:val="18"/>
              </w:rPr>
              <w:t xml:space="preserve"> i</w:t>
            </w:r>
            <w:r w:rsidRPr="00A600FE">
              <w:rPr>
                <w:rFonts w:ascii="Palatino Linotype" w:hAnsi="Palatino Linotype"/>
                <w:sz w:val="18"/>
                <w:szCs w:val="18"/>
              </w:rPr>
              <w:t xml:space="preserve"> Pasurive të Paluajtshme</w:t>
            </w:r>
            <w:r>
              <w:rPr>
                <w:rFonts w:ascii="Palatino Linotype" w:hAnsi="Palatino Linotype"/>
                <w:sz w:val="18"/>
                <w:szCs w:val="18"/>
              </w:rPr>
              <w:t xml:space="preserve"> dhe çështje që lidhen me ligjin për </w:t>
            </w:r>
            <w:r w:rsidRPr="00A600FE">
              <w:rPr>
                <w:rFonts w:ascii="Palatino Linotype" w:hAnsi="Palatino Linotype"/>
                <w:sz w:val="18"/>
                <w:szCs w:val="18"/>
              </w:rPr>
              <w:t>regjistrimin e pasurive të paluajshme dhe konfliktet gjyqësore.</w:t>
            </w:r>
          </w:p>
          <w:p w:rsidR="00E11796" w:rsidRDefault="00E11796" w:rsidP="00E11796">
            <w:pPr>
              <w:numPr>
                <w:ilvl w:val="0"/>
                <w:numId w:val="65"/>
              </w:numPr>
              <w:spacing w:after="0" w:line="240" w:lineRule="auto"/>
              <w:jc w:val="both"/>
              <w:rPr>
                <w:rFonts w:ascii="Palatino Linotype" w:hAnsi="Palatino Linotype"/>
                <w:sz w:val="18"/>
                <w:szCs w:val="18"/>
              </w:rPr>
            </w:pPr>
            <w:r w:rsidRPr="00A600FE">
              <w:rPr>
                <w:rFonts w:ascii="Palatino Linotype" w:hAnsi="Palatino Linotype"/>
                <w:sz w:val="18"/>
                <w:szCs w:val="18"/>
              </w:rPr>
              <w:t>Servitutet në lidhje me pasuritë në proces legalizimi.</w:t>
            </w:r>
          </w:p>
          <w:p w:rsidR="00E11796" w:rsidRPr="00A600FE" w:rsidRDefault="00E11796" w:rsidP="00E11796">
            <w:pPr>
              <w:numPr>
                <w:ilvl w:val="0"/>
                <w:numId w:val="65"/>
              </w:numPr>
              <w:spacing w:after="0" w:line="240" w:lineRule="auto"/>
              <w:jc w:val="both"/>
              <w:rPr>
                <w:rFonts w:ascii="Palatino Linotype" w:hAnsi="Palatino Linotype"/>
                <w:sz w:val="18"/>
                <w:szCs w:val="18"/>
              </w:rPr>
            </w:pPr>
            <w:r w:rsidRPr="00A600FE">
              <w:rPr>
                <w:rFonts w:ascii="Palatino Linotype" w:hAnsi="Palatino Linotype"/>
                <w:sz w:val="18"/>
                <w:szCs w:val="18"/>
              </w:rPr>
              <w:t>Trajtimi i ligjit “Për planifikimin e territorit”, i cili ka shfuqizuar ligjin “Për urbanistikën”.Zbatimi i tij në praktikë.</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A 1</w:t>
            </w:r>
            <w:r>
              <w:rPr>
                <w:rFonts w:ascii="Palatino Linotype" w:hAnsi="Palatino Linotype"/>
                <w:b/>
                <w:sz w:val="18"/>
                <w:szCs w:val="18"/>
              </w:rPr>
              <w:t>7</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 xml:space="preserve">Kontratat e sigurimit të pasurisë dhe jetës. </w:t>
            </w:r>
          </w:p>
          <w:p w:rsidR="00E11796" w:rsidRDefault="00E11796" w:rsidP="00E11796">
            <w:pPr>
              <w:numPr>
                <w:ilvl w:val="0"/>
                <w:numId w:val="64"/>
              </w:numPr>
              <w:spacing w:after="0" w:line="240" w:lineRule="auto"/>
              <w:jc w:val="both"/>
              <w:rPr>
                <w:rFonts w:ascii="Palatino Linotype" w:hAnsi="Palatino Linotype"/>
                <w:sz w:val="18"/>
                <w:szCs w:val="18"/>
              </w:rPr>
            </w:pPr>
            <w:r w:rsidRPr="00A600FE">
              <w:rPr>
                <w:rFonts w:ascii="Palatino Linotype" w:hAnsi="Palatino Linotype"/>
                <w:sz w:val="18"/>
                <w:szCs w:val="18"/>
              </w:rPr>
              <w:t xml:space="preserve">Sigurimi i detyrueshëm dhe vullnetar. </w:t>
            </w:r>
          </w:p>
          <w:p w:rsidR="00E11796" w:rsidRPr="00A600FE" w:rsidRDefault="00E11796" w:rsidP="00E11796">
            <w:pPr>
              <w:numPr>
                <w:ilvl w:val="0"/>
                <w:numId w:val="64"/>
              </w:numPr>
              <w:spacing w:after="0" w:line="240" w:lineRule="auto"/>
              <w:jc w:val="both"/>
              <w:rPr>
                <w:rFonts w:ascii="Palatino Linotype" w:hAnsi="Palatino Linotype"/>
                <w:sz w:val="18"/>
                <w:szCs w:val="18"/>
              </w:rPr>
            </w:pPr>
            <w:r w:rsidRPr="00A600FE">
              <w:rPr>
                <w:rFonts w:ascii="Palatino Linotype" w:hAnsi="Palatino Linotype"/>
                <w:sz w:val="18"/>
                <w:szCs w:val="18"/>
              </w:rPr>
              <w:t>Mënyra dhe kriteret e shpërblimit të dëmit që buron nga kontratat e sigur</w:t>
            </w:r>
            <w:r>
              <w:rPr>
                <w:rFonts w:ascii="Palatino Linotype" w:hAnsi="Palatino Linotype"/>
                <w:sz w:val="18"/>
                <w:szCs w:val="18"/>
              </w:rPr>
              <w:t>i</w:t>
            </w:r>
            <w:r w:rsidRPr="00A600FE">
              <w:rPr>
                <w:rFonts w:ascii="Palatino Linotype" w:hAnsi="Palatino Linotype"/>
                <w:sz w:val="18"/>
                <w:szCs w:val="18"/>
              </w:rPr>
              <w:t>mit.</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18</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Parimi i procesit të rregullt ligjor.</w:t>
            </w:r>
          </w:p>
          <w:p w:rsidR="00E11796" w:rsidRDefault="00E11796" w:rsidP="00E11796">
            <w:pPr>
              <w:numPr>
                <w:ilvl w:val="0"/>
                <w:numId w:val="66"/>
              </w:numPr>
              <w:spacing w:after="0" w:line="240" w:lineRule="auto"/>
              <w:jc w:val="both"/>
              <w:rPr>
                <w:rFonts w:ascii="Palatino Linotype" w:hAnsi="Palatino Linotype"/>
                <w:sz w:val="18"/>
                <w:szCs w:val="18"/>
              </w:rPr>
            </w:pPr>
            <w:r>
              <w:rPr>
                <w:rFonts w:ascii="Palatino Linotype" w:hAnsi="Palatino Linotype"/>
                <w:sz w:val="18"/>
                <w:szCs w:val="18"/>
              </w:rPr>
              <w:t xml:space="preserve">Roli i </w:t>
            </w:r>
            <w:r w:rsidRPr="00A600FE">
              <w:rPr>
                <w:rFonts w:ascii="Palatino Linotype" w:hAnsi="Palatino Linotype"/>
                <w:sz w:val="18"/>
                <w:szCs w:val="18"/>
              </w:rPr>
              <w:t>Gjykat</w:t>
            </w:r>
            <w:r>
              <w:rPr>
                <w:rFonts w:ascii="Palatino Linotype" w:hAnsi="Palatino Linotype"/>
                <w:sz w:val="18"/>
                <w:szCs w:val="18"/>
              </w:rPr>
              <w:t>ëssë</w:t>
            </w:r>
            <w:r w:rsidRPr="00A600FE">
              <w:rPr>
                <w:rFonts w:ascii="Palatino Linotype" w:hAnsi="Palatino Linotype"/>
                <w:sz w:val="18"/>
                <w:szCs w:val="18"/>
              </w:rPr>
              <w:t xml:space="preserve"> Apelit</w:t>
            </w:r>
            <w:r>
              <w:rPr>
                <w:rFonts w:ascii="Palatino Linotype" w:hAnsi="Palatino Linotype"/>
                <w:sz w:val="18"/>
                <w:szCs w:val="18"/>
              </w:rPr>
              <w:t xml:space="preserve">  në “kontrollin” e respektimit te këtij parimi.</w:t>
            </w:r>
          </w:p>
          <w:p w:rsidR="00E11796" w:rsidRDefault="00E11796" w:rsidP="00E11796">
            <w:pPr>
              <w:numPr>
                <w:ilvl w:val="0"/>
                <w:numId w:val="66"/>
              </w:numPr>
              <w:spacing w:after="0" w:line="240" w:lineRule="auto"/>
              <w:jc w:val="both"/>
              <w:rPr>
                <w:rFonts w:ascii="Palatino Linotype" w:hAnsi="Palatino Linotype"/>
                <w:sz w:val="18"/>
                <w:szCs w:val="18"/>
              </w:rPr>
            </w:pPr>
            <w:r>
              <w:rPr>
                <w:rFonts w:ascii="Palatino Linotype" w:hAnsi="Palatino Linotype"/>
                <w:sz w:val="18"/>
                <w:szCs w:val="18"/>
              </w:rPr>
              <w:t xml:space="preserve">Provat, e </w:t>
            </w:r>
            <w:r w:rsidRPr="00A600FE">
              <w:rPr>
                <w:rFonts w:ascii="Palatino Linotype" w:hAnsi="Palatino Linotype"/>
                <w:sz w:val="18"/>
                <w:szCs w:val="18"/>
              </w:rPr>
              <w:t>drejta për prapësimin dhe roli i palëve ndërgjyqëse</w:t>
            </w:r>
            <w:r>
              <w:rPr>
                <w:rFonts w:ascii="Palatino Linotype" w:hAnsi="Palatino Linotype"/>
                <w:sz w:val="18"/>
                <w:szCs w:val="18"/>
              </w:rPr>
              <w:t>, në respektimin e parimit të procesit të rregullt ligjor</w:t>
            </w:r>
            <w:r w:rsidRPr="00A600FE">
              <w:rPr>
                <w:rFonts w:ascii="Palatino Linotype" w:hAnsi="Palatino Linotype"/>
                <w:sz w:val="18"/>
                <w:szCs w:val="18"/>
              </w:rPr>
              <w:t>.</w:t>
            </w:r>
          </w:p>
          <w:p w:rsidR="00E11796" w:rsidRDefault="00E11796" w:rsidP="00E11796">
            <w:pPr>
              <w:numPr>
                <w:ilvl w:val="0"/>
                <w:numId w:val="66"/>
              </w:numPr>
              <w:spacing w:after="0" w:line="240" w:lineRule="auto"/>
              <w:jc w:val="both"/>
              <w:rPr>
                <w:rFonts w:ascii="Palatino Linotype" w:hAnsi="Palatino Linotype"/>
                <w:sz w:val="18"/>
                <w:szCs w:val="18"/>
              </w:rPr>
            </w:pPr>
            <w:r>
              <w:rPr>
                <w:rFonts w:ascii="Palatino Linotype" w:hAnsi="Palatino Linotype"/>
                <w:sz w:val="18"/>
                <w:szCs w:val="18"/>
              </w:rPr>
              <w:t>Menaxhimi i rastit në gjykim sipas standarteve të</w:t>
            </w:r>
            <w:r w:rsidRPr="00A600FE">
              <w:rPr>
                <w:rFonts w:ascii="Palatino Linotype" w:hAnsi="Palatino Linotype"/>
                <w:sz w:val="18"/>
                <w:szCs w:val="18"/>
              </w:rPr>
              <w:t xml:space="preserve"> nenit 6 KEDNJ-së</w:t>
            </w:r>
            <w:r>
              <w:rPr>
                <w:rFonts w:ascii="Palatino Linotype" w:hAnsi="Palatino Linotype"/>
                <w:sz w:val="18"/>
                <w:szCs w:val="18"/>
              </w:rPr>
              <w:t>.</w:t>
            </w:r>
          </w:p>
          <w:p w:rsidR="00E11796" w:rsidRPr="00A600FE" w:rsidRDefault="00E11796" w:rsidP="00E11796">
            <w:pPr>
              <w:numPr>
                <w:ilvl w:val="0"/>
                <w:numId w:val="66"/>
              </w:numPr>
              <w:spacing w:after="0" w:line="240" w:lineRule="auto"/>
              <w:jc w:val="both"/>
              <w:rPr>
                <w:rFonts w:ascii="Palatino Linotype" w:hAnsi="Palatino Linotype"/>
                <w:sz w:val="18"/>
                <w:szCs w:val="18"/>
              </w:rPr>
            </w:pPr>
            <w:r>
              <w:rPr>
                <w:rFonts w:ascii="Palatino Linotype" w:hAnsi="Palatino Linotype"/>
                <w:sz w:val="18"/>
                <w:szCs w:val="18"/>
              </w:rPr>
              <w:t>J</w:t>
            </w:r>
            <w:r w:rsidRPr="00A600FE">
              <w:rPr>
                <w:rFonts w:ascii="Palatino Linotype" w:hAnsi="Palatino Linotype"/>
                <w:sz w:val="18"/>
                <w:szCs w:val="18"/>
              </w:rPr>
              <w:t>urisprudenc</w:t>
            </w:r>
            <w:r>
              <w:rPr>
                <w:rFonts w:ascii="Palatino Linotype" w:hAnsi="Palatino Linotype"/>
                <w:sz w:val="18"/>
                <w:szCs w:val="18"/>
              </w:rPr>
              <w:t>a e GjK,</w:t>
            </w:r>
            <w:r w:rsidRPr="00A600FE">
              <w:rPr>
                <w:rFonts w:ascii="Palatino Linotype" w:hAnsi="Palatino Linotype"/>
                <w:sz w:val="18"/>
                <w:szCs w:val="18"/>
              </w:rPr>
              <w:t xml:space="preserve"> GJEDNJ-së </w:t>
            </w:r>
            <w:r>
              <w:rPr>
                <w:rFonts w:ascii="Palatino Linotype" w:hAnsi="Palatino Linotype"/>
                <w:sz w:val="18"/>
                <w:szCs w:val="18"/>
              </w:rPr>
              <w:t xml:space="preserve"> dhe GJL</w:t>
            </w:r>
            <w:r w:rsidRPr="00A600FE">
              <w:rPr>
                <w:rFonts w:ascii="Palatino Linotype" w:hAnsi="Palatino Linotype"/>
                <w:sz w:val="18"/>
                <w:szCs w:val="18"/>
              </w:rPr>
              <w:t>.</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19</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Roli i Konventave të Hagës në çështje të së drejtës ndërkombëtare private.</w:t>
            </w:r>
          </w:p>
          <w:p w:rsidR="00E11796" w:rsidRDefault="00E11796" w:rsidP="00E11796">
            <w:pPr>
              <w:numPr>
                <w:ilvl w:val="0"/>
                <w:numId w:val="67"/>
              </w:numPr>
              <w:spacing w:after="0" w:line="240" w:lineRule="auto"/>
              <w:jc w:val="both"/>
              <w:rPr>
                <w:rFonts w:ascii="Palatino Linotype" w:hAnsi="Palatino Linotype"/>
                <w:sz w:val="18"/>
                <w:szCs w:val="18"/>
              </w:rPr>
            </w:pPr>
            <w:r>
              <w:rPr>
                <w:rFonts w:ascii="Palatino Linotype" w:hAnsi="Palatino Linotype"/>
                <w:sz w:val="18"/>
                <w:szCs w:val="18"/>
              </w:rPr>
              <w:t>Roli i autotritetit kompetente sipas konventave dhe bashkëpunimi me gjyqësorin.</w:t>
            </w:r>
          </w:p>
          <w:p w:rsidR="00E11796" w:rsidRPr="00A600FE" w:rsidRDefault="00E11796" w:rsidP="00E11796">
            <w:pPr>
              <w:numPr>
                <w:ilvl w:val="0"/>
                <w:numId w:val="67"/>
              </w:numPr>
              <w:spacing w:after="0" w:line="240" w:lineRule="auto"/>
              <w:jc w:val="both"/>
              <w:rPr>
                <w:rFonts w:ascii="Palatino Linotype" w:hAnsi="Palatino Linotype"/>
                <w:sz w:val="18"/>
                <w:szCs w:val="18"/>
              </w:rPr>
            </w:pPr>
            <w:r>
              <w:rPr>
                <w:rFonts w:ascii="Palatino Linotype" w:hAnsi="Palatino Linotype"/>
                <w:sz w:val="18"/>
                <w:szCs w:val="18"/>
              </w:rPr>
              <w:t>Konventa</w:t>
            </w:r>
            <w:r w:rsidRPr="00A600FE">
              <w:rPr>
                <w:rFonts w:ascii="Palatino Linotype" w:hAnsi="Palatino Linotype"/>
                <w:sz w:val="18"/>
                <w:szCs w:val="18"/>
              </w:rPr>
              <w:t xml:space="preserve"> për dorëzimin e akteve gjyqësore dhe jashtëgjyqës</w:t>
            </w:r>
            <w:r>
              <w:rPr>
                <w:rFonts w:ascii="Palatino Linotype" w:hAnsi="Palatino Linotype"/>
                <w:sz w:val="18"/>
                <w:szCs w:val="18"/>
              </w:rPr>
              <w:t>ore në fushën civile e tregtare (formularëte përcaktuar</w:t>
            </w:r>
            <w:r w:rsidRPr="00A600FE">
              <w:rPr>
                <w:rFonts w:ascii="Palatino Linotype" w:hAnsi="Palatino Linotype"/>
                <w:sz w:val="18"/>
                <w:szCs w:val="18"/>
              </w:rPr>
              <w:t xml:space="preserve"> nga kjo Konventë</w:t>
            </w:r>
            <w:r>
              <w:rPr>
                <w:rFonts w:ascii="Palatino Linotype" w:hAnsi="Palatino Linotype"/>
                <w:sz w:val="18"/>
                <w:szCs w:val="18"/>
              </w:rPr>
              <w:t>)</w:t>
            </w:r>
            <w:r w:rsidRPr="00A600FE">
              <w:rPr>
                <w:rFonts w:ascii="Palatino Linotype" w:hAnsi="Palatino Linotype"/>
                <w:sz w:val="18"/>
                <w:szCs w:val="18"/>
              </w:rPr>
              <w:t>.</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20</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sz w:val="18"/>
                <w:szCs w:val="18"/>
              </w:rPr>
            </w:pPr>
            <w:r w:rsidRPr="00A600FE">
              <w:rPr>
                <w:rFonts w:ascii="Palatino Linotype" w:hAnsi="Palatino Linotype"/>
                <w:sz w:val="18"/>
                <w:szCs w:val="18"/>
              </w:rPr>
              <w:t>Të drejtat e autorit.</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21</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sz w:val="18"/>
                <w:szCs w:val="18"/>
              </w:rPr>
            </w:pPr>
            <w:r w:rsidRPr="00A600FE">
              <w:rPr>
                <w:rFonts w:ascii="Palatino Linotype" w:hAnsi="Palatino Linotype"/>
                <w:sz w:val="18"/>
                <w:szCs w:val="18"/>
              </w:rPr>
              <w:t>Antitrust (praktika gjyqësore):</w:t>
            </w:r>
          </w:p>
          <w:p w:rsidR="00E11796" w:rsidRPr="00A600FE" w:rsidRDefault="00E11796" w:rsidP="00E11796">
            <w:pPr>
              <w:numPr>
                <w:ilvl w:val="0"/>
                <w:numId w:val="40"/>
              </w:numPr>
              <w:spacing w:after="0" w:line="240" w:lineRule="auto"/>
              <w:jc w:val="both"/>
              <w:rPr>
                <w:rFonts w:ascii="Palatino Linotype" w:hAnsi="Palatino Linotype"/>
                <w:sz w:val="18"/>
                <w:szCs w:val="18"/>
              </w:rPr>
            </w:pPr>
            <w:r w:rsidRPr="00A600FE">
              <w:rPr>
                <w:rFonts w:ascii="Palatino Linotype" w:hAnsi="Palatino Linotype"/>
                <w:sz w:val="18"/>
                <w:szCs w:val="18"/>
              </w:rPr>
              <w:t>Eksperienca shqiptare në lidhje me:</w:t>
            </w:r>
          </w:p>
          <w:p w:rsidR="00E11796" w:rsidRPr="00A600FE" w:rsidRDefault="00E11796" w:rsidP="00E11796">
            <w:pPr>
              <w:numPr>
                <w:ilvl w:val="0"/>
                <w:numId w:val="41"/>
              </w:numPr>
              <w:spacing w:after="0" w:line="240" w:lineRule="auto"/>
              <w:jc w:val="both"/>
              <w:rPr>
                <w:rFonts w:ascii="Palatino Linotype" w:hAnsi="Palatino Linotype"/>
                <w:sz w:val="18"/>
                <w:szCs w:val="18"/>
              </w:rPr>
            </w:pPr>
            <w:r w:rsidRPr="00A600FE">
              <w:rPr>
                <w:rFonts w:ascii="Palatino Linotype" w:hAnsi="Palatino Linotype"/>
                <w:sz w:val="18"/>
                <w:szCs w:val="18"/>
              </w:rPr>
              <w:t>Abuzimin me pozitën dominuese (rastet e telefonisë së lëvizshme, në tregun e prodhimit në vend të hidrokarbureve);</w:t>
            </w:r>
          </w:p>
          <w:p w:rsidR="00E11796" w:rsidRPr="00A600FE" w:rsidRDefault="00E11796" w:rsidP="00E11796">
            <w:pPr>
              <w:numPr>
                <w:ilvl w:val="0"/>
                <w:numId w:val="41"/>
              </w:numPr>
              <w:spacing w:after="0" w:line="240" w:lineRule="auto"/>
              <w:jc w:val="both"/>
              <w:rPr>
                <w:rFonts w:ascii="Palatino Linotype" w:hAnsi="Palatino Linotype"/>
                <w:sz w:val="18"/>
                <w:szCs w:val="18"/>
              </w:rPr>
            </w:pPr>
            <w:r w:rsidRPr="00A600FE">
              <w:rPr>
                <w:rFonts w:ascii="Palatino Linotype" w:hAnsi="Palatino Linotype"/>
                <w:sz w:val="18"/>
                <w:szCs w:val="18"/>
              </w:rPr>
              <w:t>Marrëveshjet e ndaluara apo kartelet (rastet tregu I sigurimeve, tregu i importit të grurit dhe I prodhimit të miellit).</w:t>
            </w:r>
          </w:p>
          <w:p w:rsidR="00E11796" w:rsidRPr="00A600FE" w:rsidRDefault="00E11796" w:rsidP="00E11796">
            <w:pPr>
              <w:numPr>
                <w:ilvl w:val="0"/>
                <w:numId w:val="40"/>
              </w:numPr>
              <w:spacing w:after="0" w:line="240" w:lineRule="auto"/>
              <w:jc w:val="both"/>
              <w:rPr>
                <w:rFonts w:ascii="Palatino Linotype" w:hAnsi="Palatino Linotype"/>
                <w:sz w:val="18"/>
                <w:szCs w:val="18"/>
              </w:rPr>
            </w:pPr>
            <w:r w:rsidRPr="00A600FE">
              <w:rPr>
                <w:rFonts w:ascii="Palatino Linotype" w:hAnsi="Palatino Linotype"/>
                <w:sz w:val="18"/>
                <w:szCs w:val="18"/>
              </w:rPr>
              <w:t>Eksperienca evropiane</w:t>
            </w:r>
          </w:p>
          <w:p w:rsidR="00E11796" w:rsidRPr="00A600FE" w:rsidRDefault="00E11796" w:rsidP="00E11796">
            <w:pPr>
              <w:numPr>
                <w:ilvl w:val="0"/>
                <w:numId w:val="42"/>
              </w:numPr>
              <w:spacing w:after="0" w:line="240" w:lineRule="auto"/>
              <w:jc w:val="both"/>
              <w:rPr>
                <w:rFonts w:ascii="Palatino Linotype" w:hAnsi="Palatino Linotype"/>
                <w:sz w:val="18"/>
                <w:szCs w:val="18"/>
              </w:rPr>
            </w:pPr>
            <w:r w:rsidRPr="00A600FE">
              <w:rPr>
                <w:rFonts w:ascii="Palatino Linotype" w:hAnsi="Palatino Linotype"/>
                <w:sz w:val="18"/>
                <w:szCs w:val="18"/>
              </w:rPr>
              <w:t>Abuzimi me pozitën dominuese rasti i Microsoft;</w:t>
            </w:r>
          </w:p>
          <w:p w:rsidR="00E11796" w:rsidRPr="00A600FE" w:rsidRDefault="00E11796" w:rsidP="00E11796">
            <w:pPr>
              <w:numPr>
                <w:ilvl w:val="0"/>
                <w:numId w:val="42"/>
              </w:numPr>
              <w:spacing w:after="0" w:line="240" w:lineRule="auto"/>
              <w:jc w:val="both"/>
              <w:rPr>
                <w:rFonts w:ascii="Palatino Linotype" w:hAnsi="Palatino Linotype"/>
                <w:sz w:val="18"/>
                <w:szCs w:val="18"/>
              </w:rPr>
            </w:pPr>
            <w:r w:rsidRPr="00A600FE">
              <w:rPr>
                <w:rFonts w:ascii="Palatino Linotype" w:hAnsi="Palatino Linotype"/>
                <w:sz w:val="18"/>
                <w:szCs w:val="18"/>
              </w:rPr>
              <w:t>Kartelet.</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23</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pStyle w:val="ListParagraph"/>
              <w:spacing w:after="0"/>
              <w:ind w:left="0"/>
              <w:jc w:val="both"/>
              <w:rPr>
                <w:rFonts w:ascii="Palatino Linotype" w:hAnsi="Palatino Linotype"/>
                <w:sz w:val="18"/>
                <w:szCs w:val="18"/>
              </w:rPr>
            </w:pPr>
            <w:r w:rsidRPr="00A600FE">
              <w:rPr>
                <w:rFonts w:ascii="Palatino Linotype" w:hAnsi="Palatino Linotype"/>
                <w:sz w:val="18"/>
                <w:szCs w:val="18"/>
              </w:rPr>
              <w:t>Përgjegjësia civile që rrjedh nga të metat e produkteve</w:t>
            </w:r>
            <w:r>
              <w:rPr>
                <w:rFonts w:ascii="Palatino Linotype" w:hAnsi="Palatino Linotype"/>
                <w:sz w:val="18"/>
                <w:szCs w:val="18"/>
              </w:rPr>
              <w:t>.</w:t>
            </w:r>
          </w:p>
        </w:tc>
      </w:tr>
      <w:tr w:rsidR="00E11796" w:rsidRPr="00A600FE" w:rsidTr="003B46CD">
        <w:trPr>
          <w:trHeight w:val="332"/>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3"/>
              </w:numPr>
              <w:spacing w:after="0" w:line="240" w:lineRule="auto"/>
              <w:jc w:val="both"/>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 24</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Aspekte ligjore dhe praktike mbi çështjet e shpronësimit.</w:t>
            </w:r>
          </w:p>
          <w:p w:rsidR="00E11796" w:rsidRDefault="00E11796" w:rsidP="00E11796">
            <w:pPr>
              <w:numPr>
                <w:ilvl w:val="0"/>
                <w:numId w:val="53"/>
              </w:numPr>
              <w:spacing w:after="0" w:line="240" w:lineRule="auto"/>
              <w:jc w:val="both"/>
              <w:rPr>
                <w:rFonts w:ascii="Palatino Linotype" w:hAnsi="Palatino Linotype"/>
                <w:sz w:val="18"/>
                <w:szCs w:val="18"/>
              </w:rPr>
            </w:pPr>
            <w:r>
              <w:rPr>
                <w:rFonts w:ascii="Palatino Linotype" w:hAnsi="Palatino Linotype"/>
                <w:sz w:val="18"/>
                <w:szCs w:val="18"/>
              </w:rPr>
              <w:t>Kuptimi i interesit publik në çështjet e shp</w:t>
            </w:r>
            <w:r w:rsidRPr="00A600FE">
              <w:rPr>
                <w:rFonts w:ascii="Palatino Linotype" w:hAnsi="Palatino Linotype"/>
                <w:sz w:val="18"/>
                <w:szCs w:val="18"/>
              </w:rPr>
              <w:t>ronësimi</w:t>
            </w:r>
            <w:r>
              <w:rPr>
                <w:rFonts w:ascii="Palatino Linotype" w:hAnsi="Palatino Linotype"/>
                <w:sz w:val="18"/>
                <w:szCs w:val="18"/>
              </w:rPr>
              <w:t>t</w:t>
            </w:r>
            <w:r w:rsidRPr="00A600FE">
              <w:rPr>
                <w:rFonts w:ascii="Palatino Linotype" w:hAnsi="Palatino Linotype"/>
                <w:sz w:val="18"/>
                <w:szCs w:val="18"/>
              </w:rPr>
              <w:t xml:space="preserve"> dhe marrja në përdorim të përkohshëm e pasurisë pronë private. </w:t>
            </w:r>
          </w:p>
          <w:p w:rsidR="00E11796" w:rsidRPr="00A600FE" w:rsidRDefault="00E11796" w:rsidP="00E11796">
            <w:pPr>
              <w:numPr>
                <w:ilvl w:val="0"/>
                <w:numId w:val="53"/>
              </w:numPr>
              <w:spacing w:after="0" w:line="240" w:lineRule="auto"/>
              <w:jc w:val="both"/>
              <w:rPr>
                <w:rFonts w:ascii="Palatino Linotype" w:hAnsi="Palatino Linotype"/>
                <w:sz w:val="18"/>
                <w:szCs w:val="18"/>
              </w:rPr>
            </w:pPr>
            <w:r>
              <w:rPr>
                <w:rFonts w:ascii="Palatino Linotype" w:hAnsi="Palatino Linotype"/>
                <w:sz w:val="18"/>
                <w:szCs w:val="18"/>
              </w:rPr>
              <w:t>V</w:t>
            </w:r>
            <w:r w:rsidRPr="00A600FE">
              <w:rPr>
                <w:rFonts w:ascii="Palatino Linotype" w:hAnsi="Palatino Linotype"/>
                <w:sz w:val="18"/>
                <w:szCs w:val="18"/>
              </w:rPr>
              <w:t>ështrim krahasues mbi orientimin e praktikave gjyqësore.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r w:rsidRPr="00A600FE">
              <w:rPr>
                <w:rFonts w:ascii="Palatino Linotype" w:hAnsi="Palatino Linotype"/>
                <w:b/>
              </w:rPr>
              <w:t>Nr</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r w:rsidRPr="00A600FE">
              <w:rPr>
                <w:rFonts w:ascii="Palatino Linotype" w:hAnsi="Palatino Linotype"/>
                <w:b/>
              </w:rPr>
              <w:t>(KODI B) TEMA TË SË DREJTËS PENALE DHE PROCEDURËS PENALE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B 01</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Dhënia e masave m</w:t>
            </w:r>
            <w:r>
              <w:rPr>
                <w:rFonts w:ascii="Palatino Linotype" w:hAnsi="Palatino Linotype"/>
                <w:sz w:val="18"/>
                <w:szCs w:val="18"/>
              </w:rPr>
              <w:t>jekësore për mjekim të detyruar.</w:t>
            </w:r>
          </w:p>
          <w:p w:rsidR="00E11796" w:rsidRDefault="00E11796" w:rsidP="00E11796">
            <w:pPr>
              <w:numPr>
                <w:ilvl w:val="0"/>
                <w:numId w:val="68"/>
              </w:numPr>
              <w:spacing w:after="0" w:line="240" w:lineRule="auto"/>
              <w:jc w:val="both"/>
              <w:rPr>
                <w:rFonts w:ascii="Palatino Linotype" w:hAnsi="Palatino Linotype"/>
                <w:sz w:val="18"/>
                <w:szCs w:val="18"/>
              </w:rPr>
            </w:pPr>
            <w:r>
              <w:rPr>
                <w:rFonts w:ascii="Palatino Linotype" w:hAnsi="Palatino Linotype"/>
                <w:sz w:val="18"/>
                <w:szCs w:val="18"/>
              </w:rPr>
              <w:t>E</w:t>
            </w:r>
            <w:r w:rsidRPr="00A600FE">
              <w:rPr>
                <w:rFonts w:ascii="Palatino Linotype" w:hAnsi="Palatino Linotype"/>
                <w:sz w:val="18"/>
                <w:szCs w:val="18"/>
              </w:rPr>
              <w:t>kzekutimi i këtyre vendimeve penale</w:t>
            </w:r>
            <w:r>
              <w:rPr>
                <w:rFonts w:ascii="Palatino Linotype" w:hAnsi="Palatino Linotype"/>
                <w:sz w:val="18"/>
                <w:szCs w:val="18"/>
              </w:rPr>
              <w:t>.</w:t>
            </w:r>
          </w:p>
          <w:p w:rsidR="00E11796" w:rsidRPr="00A600FE" w:rsidRDefault="00E11796" w:rsidP="00E11796">
            <w:pPr>
              <w:numPr>
                <w:ilvl w:val="0"/>
                <w:numId w:val="68"/>
              </w:numPr>
              <w:spacing w:after="0" w:line="240" w:lineRule="auto"/>
              <w:jc w:val="both"/>
              <w:rPr>
                <w:rFonts w:ascii="Palatino Linotype" w:hAnsi="Palatino Linotype"/>
                <w:sz w:val="18"/>
                <w:szCs w:val="18"/>
              </w:rPr>
            </w:pPr>
            <w:r>
              <w:rPr>
                <w:rFonts w:ascii="Palatino Linotype" w:hAnsi="Palatino Linotype"/>
                <w:sz w:val="18"/>
                <w:szCs w:val="18"/>
              </w:rPr>
              <w:t>N</w:t>
            </w:r>
            <w:r w:rsidRPr="00A600FE">
              <w:rPr>
                <w:rFonts w:ascii="Palatino Linotype" w:hAnsi="Palatino Linotype"/>
                <w:sz w:val="18"/>
                <w:szCs w:val="18"/>
              </w:rPr>
              <w:t>djekja e zbatimit të masës në gjykata.</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02</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sz w:val="18"/>
                <w:szCs w:val="18"/>
              </w:rPr>
            </w:pPr>
            <w:r w:rsidRPr="00A600FE">
              <w:rPr>
                <w:rFonts w:ascii="Palatino Linotype" w:hAnsi="Palatino Linotype"/>
                <w:sz w:val="18"/>
                <w:szCs w:val="18"/>
              </w:rPr>
              <w:t>Trajtimi i personave të paraburgosur dhe të dënuarve në IEVP dhe e drejta e tyre për t’u anukar në rrugë gjyqësore dhe administrative. Trajtimi it ë burgosurve me problem të shëndetit mendor.</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8E742B" w:rsidRDefault="00E11796" w:rsidP="003B46CD">
            <w:pPr>
              <w:jc w:val="center"/>
              <w:rPr>
                <w:rFonts w:ascii="Palatino Linotype" w:hAnsi="Palatino Linotype"/>
                <w:b/>
                <w:sz w:val="18"/>
                <w:szCs w:val="18"/>
              </w:rPr>
            </w:pPr>
            <w:r>
              <w:rPr>
                <w:rFonts w:ascii="Palatino Linotype" w:hAnsi="Palatino Linotype"/>
                <w:b/>
                <w:sz w:val="18"/>
                <w:szCs w:val="18"/>
              </w:rPr>
              <w:t>B 03</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Provat e marra në kundërshtrim me ligjin</w:t>
            </w:r>
            <w:r>
              <w:rPr>
                <w:rFonts w:ascii="Palatino Linotype" w:hAnsi="Palatino Linotype"/>
                <w:sz w:val="18"/>
                <w:szCs w:val="18"/>
              </w:rPr>
              <w:t xml:space="preserve">, </w:t>
            </w:r>
            <w:r w:rsidRPr="00A600FE">
              <w:rPr>
                <w:rFonts w:ascii="Palatino Linotype" w:hAnsi="Palatino Linotype"/>
                <w:sz w:val="18"/>
                <w:szCs w:val="18"/>
              </w:rPr>
              <w:t>papërdorshmëri</w:t>
            </w:r>
            <w:r>
              <w:rPr>
                <w:rFonts w:ascii="Palatino Linotype" w:hAnsi="Palatino Linotype"/>
                <w:sz w:val="18"/>
                <w:szCs w:val="18"/>
              </w:rPr>
              <w:t>a.Pavlefshëmria e akteve procedurale.</w:t>
            </w:r>
          </w:p>
          <w:p w:rsidR="00E11796" w:rsidRDefault="00E11796" w:rsidP="00E11796">
            <w:pPr>
              <w:numPr>
                <w:ilvl w:val="0"/>
                <w:numId w:val="69"/>
              </w:numPr>
              <w:spacing w:after="0" w:line="240" w:lineRule="auto"/>
              <w:jc w:val="both"/>
              <w:rPr>
                <w:rFonts w:ascii="Palatino Linotype" w:hAnsi="Palatino Linotype"/>
                <w:sz w:val="18"/>
                <w:szCs w:val="18"/>
              </w:rPr>
            </w:pPr>
            <w:r w:rsidRPr="00047818">
              <w:rPr>
                <w:rFonts w:ascii="Palatino Linotype" w:hAnsi="Palatino Linotype"/>
                <w:sz w:val="18"/>
                <w:szCs w:val="18"/>
              </w:rPr>
              <w:t>Kriteret e dalli</w:t>
            </w:r>
            <w:r>
              <w:rPr>
                <w:rFonts w:ascii="Palatino Linotype" w:hAnsi="Palatino Linotype"/>
                <w:sz w:val="18"/>
                <w:szCs w:val="18"/>
              </w:rPr>
              <w:t>mit nga pavlefshmëria e akteve.</w:t>
            </w:r>
          </w:p>
          <w:p w:rsidR="00E11796" w:rsidRPr="00047818" w:rsidRDefault="00E11796" w:rsidP="00E11796">
            <w:pPr>
              <w:numPr>
                <w:ilvl w:val="0"/>
                <w:numId w:val="69"/>
              </w:numPr>
              <w:spacing w:after="0" w:line="240" w:lineRule="auto"/>
              <w:jc w:val="both"/>
              <w:rPr>
                <w:rFonts w:ascii="Palatino Linotype" w:hAnsi="Palatino Linotype"/>
                <w:sz w:val="18"/>
                <w:szCs w:val="18"/>
              </w:rPr>
            </w:pPr>
            <w:r w:rsidRPr="00047818">
              <w:rPr>
                <w:rFonts w:ascii="Palatino Linotype" w:hAnsi="Palatino Linotype"/>
                <w:sz w:val="18"/>
                <w:szCs w:val="18"/>
              </w:rPr>
              <w:t xml:space="preserve">Probleme të pavlefshmërisë së akteve, në përqasje me garancitë e mbrojtjes dhe kohëzgjatjen e procesit penal. </w:t>
            </w:r>
          </w:p>
          <w:p w:rsidR="00E11796" w:rsidRPr="00A600FE" w:rsidRDefault="00E11796" w:rsidP="00E11796">
            <w:pPr>
              <w:numPr>
                <w:ilvl w:val="0"/>
                <w:numId w:val="69"/>
              </w:numPr>
              <w:spacing w:after="0" w:line="240" w:lineRule="auto"/>
              <w:jc w:val="both"/>
              <w:rPr>
                <w:rFonts w:ascii="Palatino Linotype" w:hAnsi="Palatino Linotype"/>
                <w:sz w:val="18"/>
                <w:szCs w:val="18"/>
              </w:rPr>
            </w:pPr>
            <w:r w:rsidRPr="00A600FE">
              <w:rPr>
                <w:rFonts w:ascii="Palatino Linotype" w:hAnsi="Palatino Linotype"/>
                <w:sz w:val="18"/>
                <w:szCs w:val="18"/>
              </w:rPr>
              <w:t>Jurisprudenca e GjL dhe GJEDNJ-së.</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04</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 xml:space="preserve">Provat dhe llojet e tyre. </w:t>
            </w:r>
          </w:p>
          <w:p w:rsidR="00E11796" w:rsidRDefault="00E11796" w:rsidP="00E11796">
            <w:pPr>
              <w:numPr>
                <w:ilvl w:val="0"/>
                <w:numId w:val="70"/>
              </w:numPr>
              <w:spacing w:after="0" w:line="240" w:lineRule="auto"/>
              <w:jc w:val="both"/>
              <w:rPr>
                <w:rFonts w:ascii="Palatino Linotype" w:hAnsi="Palatino Linotype"/>
                <w:sz w:val="18"/>
                <w:szCs w:val="18"/>
              </w:rPr>
            </w:pPr>
            <w:r w:rsidRPr="00A600FE">
              <w:rPr>
                <w:rFonts w:ascii="Palatino Linotype" w:hAnsi="Palatino Linotype"/>
                <w:sz w:val="18"/>
                <w:szCs w:val="18"/>
              </w:rPr>
              <w:t>Ind</w:t>
            </w:r>
            <w:r>
              <w:rPr>
                <w:rFonts w:ascii="Palatino Linotype" w:hAnsi="Palatino Linotype"/>
                <w:sz w:val="18"/>
                <w:szCs w:val="18"/>
              </w:rPr>
              <w:t>icjet dhe kriteret e vlerësimit.</w:t>
            </w:r>
          </w:p>
          <w:p w:rsidR="00E11796" w:rsidRDefault="00E11796" w:rsidP="00E11796">
            <w:pPr>
              <w:numPr>
                <w:ilvl w:val="0"/>
                <w:numId w:val="70"/>
              </w:numPr>
              <w:spacing w:after="0" w:line="240" w:lineRule="auto"/>
              <w:jc w:val="both"/>
              <w:rPr>
                <w:rFonts w:ascii="Palatino Linotype" w:hAnsi="Palatino Linotype"/>
                <w:sz w:val="18"/>
                <w:szCs w:val="18"/>
              </w:rPr>
            </w:pPr>
            <w:r w:rsidRPr="002F4BB4">
              <w:rPr>
                <w:rFonts w:ascii="Palatino Linotype" w:hAnsi="Palatino Linotype"/>
                <w:sz w:val="18"/>
                <w:szCs w:val="18"/>
              </w:rPr>
              <w:t>Pr</w:t>
            </w:r>
            <w:r>
              <w:rPr>
                <w:rFonts w:ascii="Palatino Linotype" w:hAnsi="Palatino Linotype"/>
                <w:sz w:val="18"/>
                <w:szCs w:val="18"/>
              </w:rPr>
              <w:t>ovat shkencore.</w:t>
            </w:r>
          </w:p>
          <w:p w:rsidR="00E11796" w:rsidRDefault="00E11796" w:rsidP="00E11796">
            <w:pPr>
              <w:numPr>
                <w:ilvl w:val="0"/>
                <w:numId w:val="70"/>
              </w:numPr>
              <w:spacing w:after="0" w:line="240" w:lineRule="auto"/>
              <w:jc w:val="both"/>
              <w:rPr>
                <w:rFonts w:ascii="Palatino Linotype" w:hAnsi="Palatino Linotype"/>
                <w:sz w:val="18"/>
                <w:szCs w:val="18"/>
              </w:rPr>
            </w:pPr>
            <w:r>
              <w:rPr>
                <w:rFonts w:ascii="Palatino Linotype" w:hAnsi="Palatino Linotype"/>
                <w:sz w:val="18"/>
                <w:szCs w:val="18"/>
              </w:rPr>
              <w:t>Problematikat dhe jurisprudenca</w:t>
            </w:r>
            <w:r w:rsidRPr="00A600FE">
              <w:rPr>
                <w:rFonts w:ascii="Palatino Linotype" w:hAnsi="Palatino Linotype"/>
                <w:sz w:val="18"/>
                <w:szCs w:val="18"/>
              </w:rPr>
              <w:t xml:space="preserve"> e GjL.</w:t>
            </w:r>
          </w:p>
          <w:p w:rsidR="00E11796" w:rsidRPr="00B06340" w:rsidRDefault="00E11796" w:rsidP="00E11796">
            <w:pPr>
              <w:numPr>
                <w:ilvl w:val="0"/>
                <w:numId w:val="70"/>
              </w:numPr>
              <w:spacing w:after="0" w:line="240" w:lineRule="auto"/>
              <w:jc w:val="both"/>
              <w:rPr>
                <w:rFonts w:ascii="Palatino Linotype" w:hAnsi="Palatino Linotype"/>
                <w:sz w:val="18"/>
                <w:szCs w:val="18"/>
              </w:rPr>
            </w:pPr>
            <w:r>
              <w:rPr>
                <w:rFonts w:ascii="Palatino Linotype" w:hAnsi="Palatino Linotype"/>
                <w:sz w:val="18"/>
                <w:szCs w:val="18"/>
              </w:rPr>
              <w:t>Zhvillimi i shkencës dhe impakti në procesin penal, në këndvështrimin e provave shkencore.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B 05</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sz w:val="18"/>
                <w:szCs w:val="18"/>
              </w:rPr>
            </w:pPr>
            <w:r w:rsidRPr="00A600FE">
              <w:rPr>
                <w:rFonts w:ascii="Palatino Linotype" w:hAnsi="Palatino Linotype"/>
                <w:sz w:val="18"/>
                <w:szCs w:val="18"/>
              </w:rPr>
              <w:t>Padia civile në procesin penal.Përvoja evropiane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B 06</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Trafikimi i qënieve njerëzore. Aspekte te hetimit dhe te gjykimit.</w:t>
            </w:r>
          </w:p>
          <w:p w:rsidR="00E11796" w:rsidRPr="002F4BB4" w:rsidRDefault="00E11796" w:rsidP="00E11796">
            <w:pPr>
              <w:numPr>
                <w:ilvl w:val="0"/>
                <w:numId w:val="71"/>
              </w:numPr>
              <w:spacing w:after="0" w:line="240" w:lineRule="auto"/>
              <w:jc w:val="both"/>
              <w:rPr>
                <w:rFonts w:ascii="Palatino Linotype" w:hAnsi="Palatino Linotype"/>
                <w:sz w:val="18"/>
                <w:szCs w:val="18"/>
              </w:rPr>
            </w:pPr>
            <w:r>
              <w:rPr>
                <w:rFonts w:ascii="Palatino Linotype" w:hAnsi="Palatino Linotype"/>
                <w:sz w:val="18"/>
                <w:szCs w:val="18"/>
              </w:rPr>
              <w:t>Konventat ndërkombëtare në këtë fushë (OKB-së, KE-së, si dhe direktivat e BE-së).</w:t>
            </w:r>
          </w:p>
          <w:p w:rsidR="00E11796" w:rsidRDefault="00E11796" w:rsidP="00E11796">
            <w:pPr>
              <w:numPr>
                <w:ilvl w:val="0"/>
                <w:numId w:val="71"/>
              </w:numPr>
              <w:spacing w:after="0" w:line="240" w:lineRule="auto"/>
              <w:jc w:val="both"/>
              <w:rPr>
                <w:rFonts w:ascii="Palatino Linotype" w:hAnsi="Palatino Linotype"/>
                <w:sz w:val="18"/>
                <w:szCs w:val="18"/>
              </w:rPr>
            </w:pPr>
            <w:r w:rsidRPr="002F4BB4">
              <w:rPr>
                <w:rFonts w:ascii="Palatino Linotype" w:hAnsi="Palatino Linotype"/>
                <w:sz w:val="18"/>
                <w:szCs w:val="18"/>
              </w:rPr>
              <w:t>Kuptimi dhe elementët e veprës penale të trafikimit të personave. Dallimi nga veprat e tjera të ngjashme sic janë: ushtrimi i prostitucionit, shfrytëzimi për prostitucion</w:t>
            </w:r>
            <w:r>
              <w:rPr>
                <w:rFonts w:ascii="Palatino Linotype" w:hAnsi="Palatino Linotype"/>
                <w:sz w:val="18"/>
                <w:szCs w:val="18"/>
              </w:rPr>
              <w:t>.</w:t>
            </w:r>
          </w:p>
          <w:p w:rsidR="00E11796" w:rsidRDefault="00E11796" w:rsidP="00E11796">
            <w:pPr>
              <w:numPr>
                <w:ilvl w:val="0"/>
                <w:numId w:val="71"/>
              </w:numPr>
              <w:spacing w:after="0" w:line="240" w:lineRule="auto"/>
              <w:jc w:val="both"/>
              <w:rPr>
                <w:rFonts w:ascii="Palatino Linotype" w:hAnsi="Palatino Linotype"/>
                <w:sz w:val="18"/>
                <w:szCs w:val="18"/>
              </w:rPr>
            </w:pPr>
            <w:r w:rsidRPr="002F4BB4">
              <w:rPr>
                <w:rFonts w:ascii="Palatino Linotype" w:hAnsi="Palatino Linotype"/>
                <w:sz w:val="18"/>
                <w:szCs w:val="18"/>
              </w:rPr>
              <w:t xml:space="preserve">Trafikimi i brendshëm dhe krahasimi me atë transnacional. </w:t>
            </w:r>
          </w:p>
          <w:p w:rsidR="00E11796" w:rsidRPr="002F4BB4" w:rsidRDefault="00E11796" w:rsidP="00E11796">
            <w:pPr>
              <w:numPr>
                <w:ilvl w:val="0"/>
                <w:numId w:val="71"/>
              </w:numPr>
              <w:spacing w:after="0" w:line="240" w:lineRule="auto"/>
              <w:jc w:val="both"/>
              <w:rPr>
                <w:rFonts w:ascii="Palatino Linotype" w:hAnsi="Palatino Linotype"/>
                <w:sz w:val="18"/>
                <w:szCs w:val="18"/>
              </w:rPr>
            </w:pPr>
            <w:r w:rsidRPr="002F4BB4">
              <w:rPr>
                <w:rFonts w:ascii="Palatino Linotype" w:hAnsi="Palatino Linotype"/>
                <w:sz w:val="18"/>
                <w:szCs w:val="18"/>
              </w:rPr>
              <w:t>Trafikimi i t</w:t>
            </w:r>
            <w:r>
              <w:rPr>
                <w:rFonts w:ascii="Palatino Linotype" w:hAnsi="Palatino Linotype"/>
                <w:sz w:val="18"/>
                <w:szCs w:val="18"/>
              </w:rPr>
              <w:t>ë</w:t>
            </w:r>
            <w:r w:rsidRPr="002F4BB4">
              <w:rPr>
                <w:rFonts w:ascii="Palatino Linotype" w:hAnsi="Palatino Linotype"/>
                <w:sz w:val="18"/>
                <w:szCs w:val="18"/>
              </w:rPr>
              <w:t xml:space="preserve"> miturve dhe dallimi nga keqtrajtimi i  të miturve</w:t>
            </w:r>
            <w:r>
              <w:rPr>
                <w:rFonts w:ascii="Palatino Linotype" w:hAnsi="Palatino Linotype"/>
                <w:sz w:val="18"/>
                <w:szCs w:val="18"/>
              </w:rPr>
              <w:t>.</w:t>
            </w:r>
          </w:p>
          <w:p w:rsidR="00E11796" w:rsidRPr="002F4BB4" w:rsidRDefault="00E11796" w:rsidP="00E11796">
            <w:pPr>
              <w:numPr>
                <w:ilvl w:val="0"/>
                <w:numId w:val="71"/>
              </w:numPr>
              <w:spacing w:after="0" w:line="240" w:lineRule="auto"/>
              <w:jc w:val="both"/>
              <w:rPr>
                <w:rFonts w:ascii="Palatino Linotype" w:hAnsi="Palatino Linotype"/>
                <w:sz w:val="18"/>
                <w:szCs w:val="18"/>
              </w:rPr>
            </w:pPr>
            <w:r w:rsidRPr="002F4BB4">
              <w:rPr>
                <w:rFonts w:ascii="Palatino Linotype" w:hAnsi="Palatino Linotype"/>
                <w:sz w:val="18"/>
                <w:szCs w:val="18"/>
              </w:rPr>
              <w:t>Trafikimi i personave dhe format e reja të shfrytëzimit (shfrytëzimi për punë, lypje, heqje organesh etj).</w:t>
            </w:r>
          </w:p>
          <w:p w:rsidR="00E11796" w:rsidRDefault="00E11796" w:rsidP="00E11796">
            <w:pPr>
              <w:numPr>
                <w:ilvl w:val="0"/>
                <w:numId w:val="71"/>
              </w:numPr>
              <w:spacing w:after="0" w:line="240" w:lineRule="auto"/>
              <w:jc w:val="both"/>
              <w:rPr>
                <w:rFonts w:ascii="Palatino Linotype" w:hAnsi="Palatino Linotype"/>
                <w:sz w:val="18"/>
                <w:szCs w:val="18"/>
              </w:rPr>
            </w:pPr>
            <w:r w:rsidRPr="00471C4C">
              <w:rPr>
                <w:rFonts w:ascii="Palatino Linotype" w:hAnsi="Palatino Linotype"/>
                <w:sz w:val="18"/>
                <w:szCs w:val="18"/>
              </w:rPr>
              <w:t>Trafikimi dhe dallimi nga ndihma për kalimin e paligjshëm të kufijve</w:t>
            </w:r>
            <w:r>
              <w:rPr>
                <w:rFonts w:ascii="Palatino Linotype" w:hAnsi="Palatino Linotype"/>
                <w:sz w:val="18"/>
                <w:szCs w:val="18"/>
              </w:rPr>
              <w:t>.</w:t>
            </w:r>
          </w:p>
          <w:p w:rsidR="00E11796" w:rsidRPr="00B06340" w:rsidRDefault="00E11796" w:rsidP="00E11796">
            <w:pPr>
              <w:numPr>
                <w:ilvl w:val="0"/>
                <w:numId w:val="71"/>
              </w:numPr>
              <w:spacing w:after="0" w:line="240" w:lineRule="auto"/>
              <w:jc w:val="both"/>
              <w:rPr>
                <w:rFonts w:ascii="Palatino Linotype" w:hAnsi="Palatino Linotype"/>
                <w:sz w:val="18"/>
                <w:szCs w:val="18"/>
              </w:rPr>
            </w:pPr>
            <w:r w:rsidRPr="00471C4C">
              <w:rPr>
                <w:rFonts w:ascii="Palatino Linotype" w:hAnsi="Palatino Linotype"/>
                <w:sz w:val="18"/>
                <w:szCs w:val="18"/>
              </w:rPr>
              <w:lastRenderedPageBreak/>
              <w:t xml:space="preserve">Koordinimi i procesit të hetimit midis policisë dhe prokurorisë. </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 xml:space="preserve">B </w:t>
            </w:r>
            <w:r>
              <w:rPr>
                <w:rFonts w:ascii="Palatino Linotype" w:hAnsi="Palatino Linotype"/>
                <w:b/>
                <w:sz w:val="18"/>
                <w:szCs w:val="18"/>
              </w:rPr>
              <w:t>07</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 xml:space="preserve">Aksesi i viktimave të trafikimit në procesin penal. </w:t>
            </w:r>
          </w:p>
          <w:p w:rsidR="00E11796" w:rsidRDefault="00E11796" w:rsidP="00E11796">
            <w:pPr>
              <w:numPr>
                <w:ilvl w:val="0"/>
                <w:numId w:val="77"/>
              </w:numPr>
              <w:spacing w:after="0" w:line="240" w:lineRule="auto"/>
              <w:jc w:val="both"/>
              <w:rPr>
                <w:rFonts w:ascii="Palatino Linotype" w:hAnsi="Palatino Linotype"/>
                <w:sz w:val="18"/>
                <w:szCs w:val="18"/>
              </w:rPr>
            </w:pPr>
            <w:r>
              <w:rPr>
                <w:rFonts w:ascii="Palatino Linotype" w:hAnsi="Palatino Linotype"/>
                <w:sz w:val="18"/>
                <w:szCs w:val="18"/>
              </w:rPr>
              <w:t>P</w:t>
            </w:r>
            <w:r w:rsidRPr="00A600FE">
              <w:rPr>
                <w:rFonts w:ascii="Palatino Linotype" w:hAnsi="Palatino Linotype"/>
                <w:sz w:val="18"/>
                <w:szCs w:val="18"/>
              </w:rPr>
              <w:t>ërfaqësimi ligjor i viktimave të trafikimit. Vështrim krahasues i kuadrit të brendshëm ligjor dhe standartet ndërkombëtare.</w:t>
            </w:r>
          </w:p>
          <w:p w:rsidR="00E11796" w:rsidRPr="00A600FE" w:rsidRDefault="00E11796" w:rsidP="00E11796">
            <w:pPr>
              <w:numPr>
                <w:ilvl w:val="0"/>
                <w:numId w:val="77"/>
              </w:numPr>
              <w:spacing w:after="0" w:line="240" w:lineRule="auto"/>
              <w:jc w:val="both"/>
              <w:rPr>
                <w:rFonts w:ascii="Palatino Linotype" w:hAnsi="Palatino Linotype"/>
                <w:sz w:val="18"/>
                <w:szCs w:val="18"/>
              </w:rPr>
            </w:pPr>
            <w:r w:rsidRPr="00A600FE">
              <w:rPr>
                <w:rFonts w:ascii="Palatino Linotype" w:hAnsi="Palatino Linotype"/>
                <w:sz w:val="18"/>
                <w:szCs w:val="18"/>
              </w:rPr>
              <w:t>Kompensimi i viktimave të trafi</w:t>
            </w:r>
            <w:r>
              <w:rPr>
                <w:rFonts w:ascii="Palatino Linotype" w:hAnsi="Palatino Linotype"/>
                <w:sz w:val="18"/>
                <w:szCs w:val="18"/>
              </w:rPr>
              <w:t>kimit, s</w:t>
            </w:r>
            <w:r w:rsidRPr="00A600FE">
              <w:rPr>
                <w:rFonts w:ascii="Palatino Linotype" w:hAnsi="Palatino Linotype"/>
                <w:sz w:val="18"/>
                <w:szCs w:val="18"/>
              </w:rPr>
              <w:t>kema shtetërore për kompensimin dhe rehabilitimin e viktimave të trafikimit.</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08</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Veprat penale të lidhura me shoqëritë tregtare</w:t>
            </w:r>
            <w:r>
              <w:rPr>
                <w:rFonts w:ascii="Palatino Linotype" w:hAnsi="Palatino Linotype"/>
                <w:sz w:val="18"/>
                <w:szCs w:val="18"/>
              </w:rPr>
              <w:t>.</w:t>
            </w:r>
          </w:p>
          <w:p w:rsidR="00E11796" w:rsidRDefault="00E11796" w:rsidP="00E11796">
            <w:pPr>
              <w:numPr>
                <w:ilvl w:val="0"/>
                <w:numId w:val="72"/>
              </w:numPr>
              <w:spacing w:after="0" w:line="240" w:lineRule="auto"/>
              <w:jc w:val="both"/>
              <w:rPr>
                <w:rFonts w:ascii="Palatino Linotype" w:hAnsi="Palatino Linotype"/>
                <w:sz w:val="18"/>
                <w:szCs w:val="18"/>
              </w:rPr>
            </w:pPr>
            <w:r>
              <w:rPr>
                <w:rFonts w:ascii="Palatino Linotype" w:hAnsi="Palatino Linotype"/>
                <w:sz w:val="18"/>
                <w:szCs w:val="18"/>
              </w:rPr>
              <w:t>Mbrojtja penale e sipërmarrjes.</w:t>
            </w:r>
          </w:p>
          <w:p w:rsidR="00E11796" w:rsidRPr="00B06340" w:rsidRDefault="00E11796" w:rsidP="00E11796">
            <w:pPr>
              <w:numPr>
                <w:ilvl w:val="0"/>
                <w:numId w:val="72"/>
              </w:numPr>
              <w:spacing w:after="0" w:line="240" w:lineRule="auto"/>
              <w:jc w:val="both"/>
              <w:rPr>
                <w:rFonts w:ascii="Palatino Linotype" w:hAnsi="Palatino Linotype"/>
                <w:sz w:val="18"/>
                <w:szCs w:val="18"/>
              </w:rPr>
            </w:pPr>
            <w:r w:rsidRPr="00A600FE">
              <w:rPr>
                <w:rFonts w:ascii="Palatino Linotype" w:hAnsi="Palatino Linotype"/>
                <w:sz w:val="18"/>
                <w:szCs w:val="18"/>
              </w:rPr>
              <w:t>praktika gjyqësore lidhur me përgjegjshmërinë penale të personave juridikë.</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09</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sz w:val="18"/>
                <w:szCs w:val="18"/>
              </w:rPr>
            </w:pPr>
            <w:r w:rsidRPr="00A600FE">
              <w:rPr>
                <w:rFonts w:ascii="Palatino Linotype" w:hAnsi="Palatino Linotype"/>
                <w:sz w:val="18"/>
                <w:szCs w:val="18"/>
              </w:rPr>
              <w:t xml:space="preserve">Alternativat e dënimit pas reformës së sistemit të dënimeve </w:t>
            </w:r>
            <w:r w:rsidRPr="00A600FE">
              <w:rPr>
                <w:rFonts w:ascii="Palatino Linotype" w:hAnsi="Palatino Linotype"/>
                <w:i/>
                <w:sz w:val="18"/>
                <w:szCs w:val="18"/>
              </w:rPr>
              <w:t xml:space="preserve">(gjysëmliria, punë me interes publik, qëndrimi në shtëpi, dënimi me kusht, shërbimi i provës) </w:t>
            </w:r>
            <w:r w:rsidRPr="00A600FE">
              <w:rPr>
                <w:rFonts w:ascii="Palatino Linotype" w:hAnsi="Palatino Linotype"/>
                <w:sz w:val="18"/>
                <w:szCs w:val="18"/>
              </w:rPr>
              <w:t>dhe ekzekutimi i tyre. Probleme të praktikës gjyqësore dhe përqasja me përvojën evropiane.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10</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sz w:val="18"/>
                <w:szCs w:val="18"/>
              </w:rPr>
            </w:pPr>
            <w:r w:rsidRPr="00A600FE">
              <w:rPr>
                <w:rFonts w:ascii="Palatino Linotype" w:hAnsi="Palatino Linotype"/>
                <w:sz w:val="18"/>
                <w:szCs w:val="18"/>
              </w:rPr>
              <w:t>Akuzat e reja.</w:t>
            </w:r>
          </w:p>
          <w:p w:rsidR="00E11796" w:rsidRDefault="00E11796" w:rsidP="00E11796">
            <w:pPr>
              <w:numPr>
                <w:ilvl w:val="0"/>
                <w:numId w:val="73"/>
              </w:numPr>
              <w:spacing w:after="0" w:line="240" w:lineRule="auto"/>
              <w:jc w:val="both"/>
              <w:rPr>
                <w:rFonts w:ascii="Palatino Linotype" w:hAnsi="Palatino Linotype"/>
                <w:sz w:val="18"/>
                <w:szCs w:val="18"/>
              </w:rPr>
            </w:pPr>
            <w:r w:rsidRPr="00A600FE">
              <w:rPr>
                <w:rFonts w:ascii="Palatino Linotype" w:hAnsi="Palatino Linotype"/>
                <w:sz w:val="18"/>
                <w:szCs w:val="18"/>
              </w:rPr>
              <w:t>Ndryshimi i cilësimit juridik të v</w:t>
            </w:r>
            <w:r>
              <w:rPr>
                <w:rFonts w:ascii="Palatino Linotype" w:hAnsi="Palatino Linotype"/>
                <w:sz w:val="18"/>
                <w:szCs w:val="18"/>
              </w:rPr>
              <w:t>eprës penale, në gjykimin e zakonshëm</w:t>
            </w:r>
            <w:r w:rsidRPr="00A600FE">
              <w:rPr>
                <w:rFonts w:ascii="Palatino Linotype" w:hAnsi="Palatino Linotype"/>
                <w:sz w:val="18"/>
                <w:szCs w:val="18"/>
              </w:rPr>
              <w:t xml:space="preserve"> dhe gjykimin e shkurtuar (nullum crimen, </w:t>
            </w:r>
            <w:r>
              <w:rPr>
                <w:rFonts w:ascii="Palatino Linotype" w:hAnsi="Palatino Linotype"/>
                <w:sz w:val="18"/>
                <w:szCs w:val="18"/>
              </w:rPr>
              <w:t>nulla poena sine praviea lege).</w:t>
            </w:r>
          </w:p>
          <w:p w:rsidR="00E11796" w:rsidRPr="00A600FE" w:rsidRDefault="00E11796" w:rsidP="00E11796">
            <w:pPr>
              <w:numPr>
                <w:ilvl w:val="0"/>
                <w:numId w:val="73"/>
              </w:numPr>
              <w:spacing w:after="0" w:line="240" w:lineRule="auto"/>
              <w:jc w:val="both"/>
              <w:rPr>
                <w:rFonts w:ascii="Palatino Linotype" w:hAnsi="Palatino Linotype"/>
                <w:sz w:val="18"/>
                <w:szCs w:val="18"/>
              </w:rPr>
            </w:pPr>
            <w:r>
              <w:rPr>
                <w:rFonts w:ascii="Palatino Linotype" w:hAnsi="Palatino Linotype"/>
                <w:sz w:val="18"/>
                <w:szCs w:val="18"/>
              </w:rPr>
              <w:t>Jurisprudenca e GJ-së dhe GJEDNJ-së (n</w:t>
            </w:r>
            <w:r w:rsidRPr="00A600FE">
              <w:rPr>
                <w:rFonts w:ascii="Palatino Linotype" w:hAnsi="Palatino Linotype"/>
                <w:sz w:val="18"/>
                <w:szCs w:val="18"/>
              </w:rPr>
              <w:t>eni</w:t>
            </w:r>
            <w:r>
              <w:rPr>
                <w:rFonts w:ascii="Palatino Linotype" w:hAnsi="Palatino Linotype"/>
                <w:sz w:val="18"/>
                <w:szCs w:val="18"/>
              </w:rPr>
              <w:t xml:space="preserve"> 34 e Kushtetutës dhe neni</w:t>
            </w:r>
            <w:r w:rsidRPr="00A600FE">
              <w:rPr>
                <w:rFonts w:ascii="Palatino Linotype" w:hAnsi="Palatino Linotype"/>
                <w:sz w:val="18"/>
                <w:szCs w:val="18"/>
              </w:rPr>
              <w:t xml:space="preserve"> 7 të KEDNJ-së</w:t>
            </w:r>
            <w:r>
              <w:rPr>
                <w:rFonts w:ascii="Palatino Linotype" w:hAnsi="Palatino Linotype"/>
                <w:sz w:val="18"/>
                <w:szCs w:val="18"/>
              </w:rPr>
              <w:t>).</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11</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V</w:t>
            </w:r>
            <w:r w:rsidRPr="00A600FE">
              <w:rPr>
                <w:rFonts w:ascii="Palatino Linotype" w:hAnsi="Palatino Linotype"/>
                <w:sz w:val="18"/>
                <w:szCs w:val="18"/>
              </w:rPr>
              <w:t>epr</w:t>
            </w:r>
            <w:r>
              <w:rPr>
                <w:rFonts w:ascii="Palatino Linotype" w:hAnsi="Palatino Linotype"/>
                <w:sz w:val="18"/>
                <w:szCs w:val="18"/>
              </w:rPr>
              <w:t>a penale “pastrimii</w:t>
            </w:r>
            <w:r w:rsidRPr="00A600FE">
              <w:rPr>
                <w:rFonts w:ascii="Palatino Linotype" w:hAnsi="Palatino Linotype"/>
                <w:sz w:val="18"/>
                <w:szCs w:val="18"/>
              </w:rPr>
              <w:t xml:space="preserve"> produkteve të veprës penale</w:t>
            </w:r>
            <w:r>
              <w:rPr>
                <w:rFonts w:ascii="Palatino Linotype" w:hAnsi="Palatino Linotype"/>
                <w:sz w:val="18"/>
                <w:szCs w:val="18"/>
              </w:rPr>
              <w:t xml:space="preserve"> ose i veprimtarisë kriminale</w:t>
            </w:r>
            <w:r w:rsidRPr="00A600FE">
              <w:rPr>
                <w:rFonts w:ascii="Palatino Linotype" w:hAnsi="Palatino Linotype"/>
                <w:sz w:val="18"/>
                <w:szCs w:val="18"/>
              </w:rPr>
              <w:t xml:space="preserve">”, </w:t>
            </w:r>
            <w:r>
              <w:rPr>
                <w:rFonts w:ascii="Palatino Linotype" w:hAnsi="Palatino Linotype"/>
                <w:sz w:val="18"/>
                <w:szCs w:val="18"/>
              </w:rPr>
              <w:t>(</w:t>
            </w:r>
            <w:r w:rsidRPr="00A600FE">
              <w:rPr>
                <w:rFonts w:ascii="Palatino Linotype" w:hAnsi="Palatino Linotype"/>
                <w:sz w:val="18"/>
                <w:szCs w:val="18"/>
              </w:rPr>
              <w:t>neni 287 i K.Penal</w:t>
            </w:r>
            <w:r>
              <w:rPr>
                <w:rFonts w:ascii="Palatino Linotype" w:hAnsi="Palatino Linotype"/>
                <w:sz w:val="18"/>
                <w:szCs w:val="18"/>
              </w:rPr>
              <w:t>).</w:t>
            </w:r>
          </w:p>
          <w:p w:rsidR="00E11796" w:rsidRDefault="00E11796" w:rsidP="00E11796">
            <w:pPr>
              <w:numPr>
                <w:ilvl w:val="0"/>
                <w:numId w:val="74"/>
              </w:numPr>
              <w:spacing w:after="0" w:line="240" w:lineRule="auto"/>
              <w:jc w:val="both"/>
              <w:rPr>
                <w:rFonts w:ascii="Palatino Linotype" w:hAnsi="Palatino Linotype"/>
                <w:sz w:val="18"/>
                <w:szCs w:val="18"/>
              </w:rPr>
            </w:pPr>
            <w:r w:rsidRPr="00A600FE">
              <w:rPr>
                <w:rFonts w:ascii="Palatino Linotype" w:hAnsi="Palatino Linotype"/>
                <w:sz w:val="18"/>
                <w:szCs w:val="18"/>
              </w:rPr>
              <w:t xml:space="preserve">Problemet e evidentuara në </w:t>
            </w:r>
            <w:r>
              <w:rPr>
                <w:rFonts w:ascii="Palatino Linotype" w:hAnsi="Palatino Linotype"/>
                <w:sz w:val="18"/>
                <w:szCs w:val="18"/>
              </w:rPr>
              <w:t>fazën e hetimit dhe gjykimit</w:t>
            </w:r>
          </w:p>
          <w:p w:rsidR="00E11796" w:rsidRDefault="00E11796" w:rsidP="00E11796">
            <w:pPr>
              <w:numPr>
                <w:ilvl w:val="0"/>
                <w:numId w:val="74"/>
              </w:numPr>
              <w:spacing w:after="0" w:line="240" w:lineRule="auto"/>
              <w:jc w:val="both"/>
              <w:rPr>
                <w:rFonts w:ascii="Palatino Linotype" w:hAnsi="Palatino Linotype"/>
                <w:sz w:val="18"/>
                <w:szCs w:val="18"/>
              </w:rPr>
            </w:pPr>
            <w:r>
              <w:rPr>
                <w:rFonts w:ascii="Palatino Linotype" w:hAnsi="Palatino Linotype"/>
                <w:sz w:val="18"/>
                <w:szCs w:val="18"/>
              </w:rPr>
              <w:t>Pastrimi i parave dhe aspektet procedurale</w:t>
            </w:r>
          </w:p>
          <w:p w:rsidR="00E11796" w:rsidRDefault="00E11796" w:rsidP="00E11796">
            <w:pPr>
              <w:numPr>
                <w:ilvl w:val="0"/>
                <w:numId w:val="74"/>
              </w:numPr>
              <w:spacing w:after="0" w:line="240" w:lineRule="auto"/>
              <w:jc w:val="both"/>
              <w:rPr>
                <w:rFonts w:ascii="Palatino Linotype" w:hAnsi="Palatino Linotype"/>
                <w:sz w:val="18"/>
                <w:szCs w:val="18"/>
              </w:rPr>
            </w:pPr>
            <w:r>
              <w:rPr>
                <w:rFonts w:ascii="Palatino Linotype" w:hAnsi="Palatino Linotype"/>
                <w:sz w:val="18"/>
                <w:szCs w:val="18"/>
              </w:rPr>
              <w:t>konfiskimi</w:t>
            </w:r>
          </w:p>
          <w:p w:rsidR="00E11796" w:rsidRPr="000E2080" w:rsidRDefault="00E11796" w:rsidP="00E11796">
            <w:pPr>
              <w:numPr>
                <w:ilvl w:val="0"/>
                <w:numId w:val="74"/>
              </w:numPr>
              <w:spacing w:after="0" w:line="240" w:lineRule="auto"/>
              <w:jc w:val="both"/>
              <w:rPr>
                <w:rFonts w:ascii="Palatino Linotype" w:hAnsi="Palatino Linotype"/>
                <w:sz w:val="18"/>
                <w:szCs w:val="18"/>
              </w:rPr>
            </w:pPr>
            <w:r>
              <w:rPr>
                <w:rFonts w:ascii="Palatino Linotype" w:hAnsi="Palatino Linotype"/>
                <w:sz w:val="18"/>
                <w:szCs w:val="18"/>
              </w:rPr>
              <w:t>Praktikag</w:t>
            </w:r>
            <w:r w:rsidRPr="00A600FE">
              <w:rPr>
                <w:rFonts w:ascii="Palatino Linotype" w:hAnsi="Palatino Linotype"/>
                <w:sz w:val="18"/>
                <w:szCs w:val="18"/>
              </w:rPr>
              <w:t>jyqësore dhe jurisprudenca e GjL.</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12</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Veprat penale që lidhen me korrupsionin.</w:t>
            </w:r>
          </w:p>
          <w:p w:rsidR="00E11796" w:rsidRDefault="00E11796" w:rsidP="00E11796">
            <w:pPr>
              <w:numPr>
                <w:ilvl w:val="0"/>
                <w:numId w:val="75"/>
              </w:numPr>
              <w:spacing w:after="0" w:line="240" w:lineRule="auto"/>
              <w:jc w:val="both"/>
              <w:rPr>
                <w:rFonts w:ascii="Palatino Linotype" w:hAnsi="Palatino Linotype"/>
                <w:sz w:val="18"/>
                <w:szCs w:val="18"/>
              </w:rPr>
            </w:pPr>
            <w:r>
              <w:rPr>
                <w:rFonts w:ascii="Palatino Linotype" w:hAnsi="Palatino Linotype"/>
                <w:sz w:val="18"/>
                <w:szCs w:val="18"/>
              </w:rPr>
              <w:t>P</w:t>
            </w:r>
            <w:r w:rsidRPr="00A600FE">
              <w:rPr>
                <w:rFonts w:ascii="Palatino Linotype" w:hAnsi="Palatino Linotype"/>
                <w:sz w:val="18"/>
                <w:szCs w:val="18"/>
              </w:rPr>
              <w:t>arashikimet l</w:t>
            </w:r>
            <w:r>
              <w:rPr>
                <w:rFonts w:ascii="Palatino Linotype" w:hAnsi="Palatino Linotype"/>
                <w:sz w:val="18"/>
                <w:szCs w:val="18"/>
              </w:rPr>
              <w:t>igjore dhe aktet ndërkombëtare n</w:t>
            </w:r>
            <w:r w:rsidRPr="00A600FE">
              <w:rPr>
                <w:rFonts w:ascii="Palatino Linotype" w:hAnsi="Palatino Linotype"/>
                <w:sz w:val="18"/>
                <w:szCs w:val="18"/>
              </w:rPr>
              <w:t xml:space="preserve">ë </w:t>
            </w:r>
            <w:r>
              <w:rPr>
                <w:rFonts w:ascii="Palatino Linotype" w:hAnsi="Palatino Linotype"/>
                <w:sz w:val="18"/>
                <w:szCs w:val="18"/>
              </w:rPr>
              <w:t xml:space="preserve">këtë </w:t>
            </w:r>
            <w:r w:rsidRPr="00A600FE">
              <w:rPr>
                <w:rFonts w:ascii="Palatino Linotype" w:hAnsi="Palatino Linotype"/>
                <w:sz w:val="18"/>
                <w:szCs w:val="18"/>
              </w:rPr>
              <w:t xml:space="preserve">fushë </w:t>
            </w:r>
          </w:p>
          <w:p w:rsidR="00E11796" w:rsidRDefault="00E11796" w:rsidP="00E11796">
            <w:pPr>
              <w:numPr>
                <w:ilvl w:val="0"/>
                <w:numId w:val="75"/>
              </w:numPr>
              <w:spacing w:after="0" w:line="240" w:lineRule="auto"/>
              <w:jc w:val="both"/>
              <w:rPr>
                <w:rFonts w:ascii="Palatino Linotype" w:hAnsi="Palatino Linotype"/>
                <w:sz w:val="18"/>
                <w:szCs w:val="18"/>
              </w:rPr>
            </w:pPr>
            <w:r w:rsidRPr="00A600FE">
              <w:rPr>
                <w:rFonts w:ascii="Palatino Linotype" w:hAnsi="Palatino Linotype"/>
                <w:sz w:val="18"/>
                <w:szCs w:val="18"/>
              </w:rPr>
              <w:t>Praktikat më të mira mbi hetimin dhe gjykimin e veprave korruptive në përputhje me.</w:t>
            </w:r>
          </w:p>
          <w:p w:rsidR="00E11796" w:rsidRPr="00A600FE" w:rsidRDefault="00E11796" w:rsidP="00E11796">
            <w:pPr>
              <w:numPr>
                <w:ilvl w:val="0"/>
                <w:numId w:val="75"/>
              </w:numPr>
              <w:spacing w:after="0" w:line="240" w:lineRule="auto"/>
              <w:jc w:val="both"/>
              <w:rPr>
                <w:rFonts w:ascii="Palatino Linotype" w:hAnsi="Palatino Linotype"/>
                <w:sz w:val="18"/>
                <w:szCs w:val="18"/>
              </w:rPr>
            </w:pPr>
            <w:r>
              <w:rPr>
                <w:rFonts w:ascii="Palatino Linotype" w:hAnsi="Palatino Linotype"/>
                <w:sz w:val="18"/>
                <w:szCs w:val="18"/>
              </w:rPr>
              <w:t>Korrupsioni dhe krimi i organizuar</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13</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 xml:space="preserve">Menaxhimi i </w:t>
            </w:r>
            <w:r>
              <w:rPr>
                <w:rFonts w:ascii="Palatino Linotype" w:hAnsi="Palatino Linotype"/>
                <w:sz w:val="18"/>
                <w:szCs w:val="18"/>
              </w:rPr>
              <w:t>rastit në disa aspekte penale</w:t>
            </w:r>
          </w:p>
          <w:p w:rsidR="00E11796" w:rsidRDefault="00E11796" w:rsidP="00E11796">
            <w:pPr>
              <w:numPr>
                <w:ilvl w:val="0"/>
                <w:numId w:val="78"/>
              </w:numPr>
              <w:spacing w:after="0" w:line="240" w:lineRule="auto"/>
              <w:jc w:val="both"/>
              <w:rPr>
                <w:rFonts w:ascii="Palatino Linotype" w:hAnsi="Palatino Linotype"/>
                <w:sz w:val="18"/>
                <w:szCs w:val="18"/>
              </w:rPr>
            </w:pPr>
            <w:r>
              <w:rPr>
                <w:rFonts w:ascii="Palatino Linotype" w:hAnsi="Palatino Linotype"/>
                <w:sz w:val="18"/>
                <w:szCs w:val="18"/>
              </w:rPr>
              <w:t xml:space="preserve">Menaxhimi i </w:t>
            </w:r>
            <w:r w:rsidRPr="00A600FE">
              <w:rPr>
                <w:rFonts w:ascii="Palatino Linotype" w:hAnsi="Palatino Linotype"/>
                <w:sz w:val="18"/>
                <w:szCs w:val="18"/>
              </w:rPr>
              <w:t>skenës së krimit.</w:t>
            </w:r>
          </w:p>
          <w:p w:rsidR="00E11796" w:rsidRDefault="00E11796" w:rsidP="00E11796">
            <w:pPr>
              <w:numPr>
                <w:ilvl w:val="0"/>
                <w:numId w:val="78"/>
              </w:numPr>
              <w:spacing w:after="0" w:line="240" w:lineRule="auto"/>
              <w:jc w:val="both"/>
              <w:rPr>
                <w:rFonts w:ascii="Palatino Linotype" w:hAnsi="Palatino Linotype"/>
                <w:sz w:val="18"/>
                <w:szCs w:val="18"/>
              </w:rPr>
            </w:pPr>
            <w:r w:rsidRPr="00802B66">
              <w:rPr>
                <w:rFonts w:ascii="Palatino Linotype" w:hAnsi="Palatino Linotype"/>
                <w:sz w:val="18"/>
                <w:szCs w:val="18"/>
              </w:rPr>
              <w:t>Manaxhimi i riskut.</w:t>
            </w:r>
          </w:p>
          <w:p w:rsidR="00E11796" w:rsidRDefault="00E11796" w:rsidP="00E11796">
            <w:pPr>
              <w:numPr>
                <w:ilvl w:val="0"/>
                <w:numId w:val="78"/>
              </w:numPr>
              <w:spacing w:after="0" w:line="240" w:lineRule="auto"/>
              <w:jc w:val="both"/>
              <w:rPr>
                <w:rFonts w:ascii="Palatino Linotype" w:hAnsi="Palatino Linotype"/>
                <w:sz w:val="18"/>
                <w:szCs w:val="18"/>
              </w:rPr>
            </w:pPr>
            <w:r w:rsidRPr="00802B66">
              <w:rPr>
                <w:rFonts w:ascii="Palatino Linotype" w:hAnsi="Palatino Linotype"/>
                <w:sz w:val="18"/>
                <w:szCs w:val="18"/>
              </w:rPr>
              <w:t>Manaxhimi i zbulimit dhe i informacionit.</w:t>
            </w:r>
          </w:p>
          <w:p w:rsidR="00E11796" w:rsidRDefault="00E11796" w:rsidP="00E11796">
            <w:pPr>
              <w:numPr>
                <w:ilvl w:val="0"/>
                <w:numId w:val="78"/>
              </w:numPr>
              <w:spacing w:after="0" w:line="240" w:lineRule="auto"/>
              <w:jc w:val="both"/>
              <w:rPr>
                <w:rFonts w:ascii="Palatino Linotype" w:hAnsi="Palatino Linotype"/>
                <w:sz w:val="18"/>
                <w:szCs w:val="18"/>
              </w:rPr>
            </w:pPr>
            <w:r w:rsidRPr="00802B66">
              <w:rPr>
                <w:rFonts w:ascii="Palatino Linotype" w:hAnsi="Palatino Linotype"/>
                <w:sz w:val="18"/>
                <w:szCs w:val="18"/>
              </w:rPr>
              <w:t>Komunikimet telefonike dhe analiza e të dhënave.</w:t>
            </w:r>
          </w:p>
          <w:p w:rsidR="00E11796" w:rsidRPr="00802B66" w:rsidRDefault="00E11796" w:rsidP="00E11796">
            <w:pPr>
              <w:numPr>
                <w:ilvl w:val="0"/>
                <w:numId w:val="78"/>
              </w:numPr>
              <w:spacing w:after="0" w:line="240" w:lineRule="auto"/>
              <w:jc w:val="both"/>
              <w:rPr>
                <w:rFonts w:ascii="Palatino Linotype" w:hAnsi="Palatino Linotype"/>
                <w:sz w:val="18"/>
                <w:szCs w:val="18"/>
              </w:rPr>
            </w:pPr>
            <w:r w:rsidRPr="00802B66">
              <w:rPr>
                <w:rFonts w:ascii="Palatino Linotype" w:hAnsi="Palatino Linotype"/>
                <w:sz w:val="18"/>
                <w:szCs w:val="18"/>
              </w:rPr>
              <w:t>Masat e posacme dhe autorizimi i burimit të infiltruar.</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14</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cs="Arial"/>
                <w:sz w:val="18"/>
                <w:szCs w:val="18"/>
                <w:lang w:eastAsia="ja-JP"/>
              </w:rPr>
            </w:pPr>
            <w:r>
              <w:rPr>
                <w:rFonts w:ascii="Palatino Linotype" w:hAnsi="Palatino Linotype"/>
                <w:sz w:val="18"/>
                <w:szCs w:val="18"/>
              </w:rPr>
              <w:t>Roli i prokurorit në marrjen e vendimeve për m</w:t>
            </w:r>
            <w:r w:rsidRPr="00A600FE">
              <w:rPr>
                <w:rFonts w:ascii="Palatino Linotype" w:hAnsi="Palatino Linotype"/>
                <w:sz w:val="18"/>
                <w:szCs w:val="18"/>
              </w:rPr>
              <w:t>osfillimi</w:t>
            </w:r>
            <w:r>
              <w:rPr>
                <w:rFonts w:ascii="Palatino Linotype" w:hAnsi="Palatino Linotype"/>
                <w:sz w:val="18"/>
                <w:szCs w:val="18"/>
              </w:rPr>
              <w:t>ne</w:t>
            </w:r>
            <w:r w:rsidRPr="00A600FE">
              <w:rPr>
                <w:rFonts w:ascii="Palatino Linotype" w:hAnsi="Palatino Linotype"/>
                <w:sz w:val="18"/>
                <w:szCs w:val="18"/>
              </w:rPr>
              <w:t xml:space="preserve"> procedimit penal, pezullimi i hetimeve dhe pushimi i </w:t>
            </w:r>
            <w:r w:rsidRPr="00A600FE">
              <w:rPr>
                <w:rFonts w:ascii="Palatino Linotype" w:hAnsi="Palatino Linotype" w:cs="Arial"/>
                <w:sz w:val="18"/>
                <w:szCs w:val="18"/>
                <w:lang w:eastAsia="ja-JP"/>
              </w:rPr>
              <w:t>çështjes</w:t>
            </w:r>
            <w:r>
              <w:rPr>
                <w:rFonts w:ascii="Palatino Linotype" w:hAnsi="Palatino Linotype" w:cs="Arial"/>
                <w:sz w:val="18"/>
                <w:szCs w:val="18"/>
                <w:lang w:eastAsia="ja-JP"/>
              </w:rPr>
              <w:t>.</w:t>
            </w:r>
          </w:p>
          <w:p w:rsidR="00E11796" w:rsidRPr="000C66D9" w:rsidRDefault="00E11796" w:rsidP="00E11796">
            <w:pPr>
              <w:numPr>
                <w:ilvl w:val="0"/>
                <w:numId w:val="79"/>
              </w:numPr>
              <w:spacing w:after="0" w:line="240" w:lineRule="auto"/>
              <w:jc w:val="both"/>
              <w:rPr>
                <w:rFonts w:ascii="Palatino Linotype" w:hAnsi="Palatino Linotype"/>
                <w:sz w:val="18"/>
                <w:szCs w:val="18"/>
              </w:rPr>
            </w:pPr>
            <w:r>
              <w:rPr>
                <w:rFonts w:ascii="Palatino Linotype" w:hAnsi="Palatino Linotype" w:cs="Arial"/>
                <w:sz w:val="18"/>
                <w:szCs w:val="18"/>
                <w:lang w:eastAsia="ja-JP"/>
              </w:rPr>
              <w:t>G</w:t>
            </w:r>
            <w:r w:rsidRPr="00A600FE">
              <w:rPr>
                <w:rFonts w:ascii="Palatino Linotype" w:hAnsi="Palatino Linotype" w:cs="Arial"/>
                <w:sz w:val="18"/>
                <w:szCs w:val="18"/>
                <w:lang w:eastAsia="ja-JP"/>
              </w:rPr>
              <w:t xml:space="preserve">arantimi </w:t>
            </w:r>
            <w:r>
              <w:rPr>
                <w:rFonts w:ascii="Palatino Linotype" w:hAnsi="Palatino Linotype" w:cs="Arial"/>
                <w:sz w:val="18"/>
                <w:szCs w:val="18"/>
                <w:lang w:eastAsia="ja-JP"/>
              </w:rPr>
              <w:t xml:space="preserve">i </w:t>
            </w:r>
            <w:r w:rsidRPr="00A600FE">
              <w:rPr>
                <w:rFonts w:ascii="Palatino Linotype" w:hAnsi="Palatino Linotype" w:cs="Arial"/>
                <w:sz w:val="18"/>
                <w:szCs w:val="18"/>
                <w:lang w:eastAsia="ja-JP"/>
              </w:rPr>
              <w:t xml:space="preserve">procesit të drejtë, të barabartë e të rregullt ligjor. </w:t>
            </w:r>
          </w:p>
          <w:p w:rsidR="00E11796" w:rsidRPr="00A600FE" w:rsidRDefault="00E11796" w:rsidP="00E11796">
            <w:pPr>
              <w:numPr>
                <w:ilvl w:val="0"/>
                <w:numId w:val="79"/>
              </w:numPr>
              <w:spacing w:after="0" w:line="240" w:lineRule="auto"/>
              <w:jc w:val="both"/>
              <w:rPr>
                <w:rFonts w:ascii="Palatino Linotype" w:hAnsi="Palatino Linotype"/>
                <w:sz w:val="18"/>
                <w:szCs w:val="18"/>
              </w:rPr>
            </w:pPr>
            <w:r w:rsidRPr="00A600FE">
              <w:rPr>
                <w:rFonts w:ascii="Palatino Linotype" w:hAnsi="Palatino Linotype" w:cs="Arial"/>
                <w:sz w:val="18"/>
                <w:szCs w:val="18"/>
                <w:lang w:eastAsia="ja-JP"/>
              </w:rPr>
              <w:t>Problemet e evidentuara në praktikën e procedimeve në prokurori, praktika gjyqësore, si dhe jurisprudence e GjL.</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15</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Gjykimi në mungesë në procesin penal</w:t>
            </w:r>
          </w:p>
          <w:p w:rsidR="00E11796" w:rsidRDefault="00E11796" w:rsidP="00E11796">
            <w:pPr>
              <w:numPr>
                <w:ilvl w:val="0"/>
                <w:numId w:val="81"/>
              </w:numPr>
              <w:spacing w:after="0" w:line="240" w:lineRule="auto"/>
              <w:jc w:val="both"/>
              <w:rPr>
                <w:rFonts w:ascii="Palatino Linotype" w:hAnsi="Palatino Linotype"/>
                <w:sz w:val="18"/>
                <w:szCs w:val="18"/>
              </w:rPr>
            </w:pPr>
            <w:r w:rsidRPr="00A600FE">
              <w:rPr>
                <w:rFonts w:ascii="Palatino Linotype" w:hAnsi="Palatino Linotype"/>
                <w:sz w:val="18"/>
                <w:szCs w:val="18"/>
              </w:rPr>
              <w:t>Rivendosja në afat e të drejtës së ankimit/rekursit dhe problemet e evidentuara në vështrim të jurisprudences së GjL, GjK dhe GJEDNJ.</w:t>
            </w:r>
          </w:p>
          <w:p w:rsidR="00E11796" w:rsidRPr="00FF4AE1" w:rsidRDefault="00E11796" w:rsidP="00E11796">
            <w:pPr>
              <w:numPr>
                <w:ilvl w:val="0"/>
                <w:numId w:val="81"/>
              </w:numPr>
              <w:spacing w:after="0" w:line="240" w:lineRule="auto"/>
              <w:jc w:val="both"/>
              <w:rPr>
                <w:rFonts w:ascii="Palatino Linotype" w:hAnsi="Palatino Linotype"/>
                <w:sz w:val="18"/>
                <w:szCs w:val="18"/>
              </w:rPr>
            </w:pPr>
            <w:r w:rsidRPr="00FF4AE1">
              <w:rPr>
                <w:rFonts w:ascii="Palatino Linotype" w:hAnsi="Palatino Linotype"/>
                <w:sz w:val="18"/>
                <w:szCs w:val="18"/>
              </w:rPr>
              <w:t>Aspekte të jurisprudencës së Gjykatës së Lartë, në përqasje me vendimet e GJEDNJ.</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16</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 xml:space="preserve">Rishikimi, në procesin penal. </w:t>
            </w:r>
          </w:p>
          <w:p w:rsidR="00E11796" w:rsidRDefault="00E11796" w:rsidP="00E11796">
            <w:pPr>
              <w:numPr>
                <w:ilvl w:val="0"/>
                <w:numId w:val="82"/>
              </w:numPr>
              <w:spacing w:after="0" w:line="240" w:lineRule="auto"/>
              <w:jc w:val="both"/>
              <w:rPr>
                <w:rFonts w:ascii="Palatino Linotype" w:hAnsi="Palatino Linotype"/>
                <w:sz w:val="18"/>
                <w:szCs w:val="18"/>
              </w:rPr>
            </w:pPr>
            <w:r>
              <w:rPr>
                <w:rFonts w:ascii="Palatino Linotype" w:hAnsi="Palatino Linotype"/>
                <w:sz w:val="18"/>
                <w:szCs w:val="18"/>
              </w:rPr>
              <w:lastRenderedPageBreak/>
              <w:t>Vendimet që mund të rishikohen.</w:t>
            </w:r>
          </w:p>
          <w:p w:rsidR="00E11796" w:rsidRDefault="00E11796" w:rsidP="00E11796">
            <w:pPr>
              <w:numPr>
                <w:ilvl w:val="0"/>
                <w:numId w:val="82"/>
              </w:numPr>
              <w:spacing w:after="0" w:line="240" w:lineRule="auto"/>
              <w:jc w:val="both"/>
              <w:rPr>
                <w:rFonts w:ascii="Palatino Linotype" w:hAnsi="Palatino Linotype"/>
                <w:sz w:val="18"/>
                <w:szCs w:val="18"/>
              </w:rPr>
            </w:pPr>
            <w:r>
              <w:rPr>
                <w:rFonts w:ascii="Palatino Linotype" w:hAnsi="Palatino Linotype"/>
                <w:sz w:val="18"/>
                <w:szCs w:val="18"/>
              </w:rPr>
              <w:t>R</w:t>
            </w:r>
            <w:r w:rsidRPr="00A600FE">
              <w:rPr>
                <w:rFonts w:ascii="Palatino Linotype" w:hAnsi="Palatino Linotype"/>
                <w:sz w:val="18"/>
                <w:szCs w:val="18"/>
              </w:rPr>
              <w:t>astet dhe procedura</w:t>
            </w:r>
            <w:r>
              <w:rPr>
                <w:rFonts w:ascii="Palatino Linotype" w:hAnsi="Palatino Linotype"/>
                <w:sz w:val="18"/>
                <w:szCs w:val="18"/>
              </w:rPr>
              <w:t xml:space="preserve"> e rishikimit.</w:t>
            </w:r>
          </w:p>
          <w:p w:rsidR="00E11796" w:rsidRPr="00A600FE" w:rsidRDefault="00E11796" w:rsidP="00E11796">
            <w:pPr>
              <w:numPr>
                <w:ilvl w:val="0"/>
                <w:numId w:val="82"/>
              </w:numPr>
              <w:spacing w:after="0" w:line="240" w:lineRule="auto"/>
              <w:jc w:val="both"/>
              <w:rPr>
                <w:rFonts w:ascii="Palatino Linotype" w:hAnsi="Palatino Linotype"/>
                <w:sz w:val="18"/>
                <w:szCs w:val="18"/>
              </w:rPr>
            </w:pPr>
            <w:r w:rsidRPr="00A600FE">
              <w:rPr>
                <w:rFonts w:ascii="Palatino Linotype" w:hAnsi="Palatino Linotype"/>
                <w:sz w:val="18"/>
                <w:szCs w:val="18"/>
              </w:rPr>
              <w:t>Gjykimi i rishikimit, në vështrim të jursprudencës së GjL, GjK dhe GEDNJ.</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17</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 xml:space="preserve">Të rejat që ka sjellë ligji i ri për ndryshimet dhe plotësimete K.Penal. </w:t>
            </w:r>
          </w:p>
          <w:p w:rsidR="00E11796" w:rsidRDefault="00E11796" w:rsidP="00E11796">
            <w:pPr>
              <w:numPr>
                <w:ilvl w:val="0"/>
                <w:numId w:val="89"/>
              </w:numPr>
              <w:spacing w:after="0" w:line="240" w:lineRule="auto"/>
              <w:jc w:val="both"/>
              <w:rPr>
                <w:rFonts w:ascii="Palatino Linotype" w:hAnsi="Palatino Linotype"/>
                <w:sz w:val="18"/>
                <w:szCs w:val="18"/>
              </w:rPr>
            </w:pPr>
            <w:r w:rsidRPr="00FD781A">
              <w:rPr>
                <w:rFonts w:ascii="Palatino Linotype" w:hAnsi="Palatino Linotype"/>
                <w:sz w:val="18"/>
                <w:szCs w:val="18"/>
              </w:rPr>
              <w:t>Kuptimi dhe interpretimi i normave të reja dhe të ndryshuara, sipas grup veprave, për zbatimin e drejtë dhe efektiv të tyre.</w:t>
            </w:r>
          </w:p>
          <w:p w:rsidR="00E11796" w:rsidRPr="00B06340" w:rsidRDefault="00E11796" w:rsidP="00E11796">
            <w:pPr>
              <w:numPr>
                <w:ilvl w:val="0"/>
                <w:numId w:val="89"/>
              </w:numPr>
              <w:spacing w:after="0" w:line="240" w:lineRule="auto"/>
              <w:jc w:val="both"/>
              <w:rPr>
                <w:rFonts w:ascii="Palatino Linotype" w:hAnsi="Palatino Linotype"/>
                <w:sz w:val="18"/>
                <w:szCs w:val="18"/>
              </w:rPr>
            </w:pPr>
            <w:r w:rsidRPr="00FD781A">
              <w:rPr>
                <w:rFonts w:ascii="Palatino Linotype" w:hAnsi="Palatino Linotype"/>
                <w:sz w:val="18"/>
                <w:szCs w:val="18"/>
              </w:rPr>
              <w:t>Dekriminalizimin e shpifjes, fyerjes, respektimin e jetës private, ruajtja e imazhit etj.</w:t>
            </w:r>
          </w:p>
          <w:p w:rsidR="00E11796" w:rsidRPr="00A600FE" w:rsidRDefault="00E11796" w:rsidP="003B46CD">
            <w:pPr>
              <w:jc w:val="both"/>
              <w:rPr>
                <w:rFonts w:ascii="Palatino Linotype" w:hAnsi="Palatino Linotype"/>
                <w:sz w:val="18"/>
                <w:szCs w:val="18"/>
              </w:rPr>
            </w:pPr>
            <w:r>
              <w:rPr>
                <w:rFonts w:ascii="Palatino Linotype" w:hAnsi="Palatino Linotype"/>
                <w:sz w:val="18"/>
                <w:szCs w:val="18"/>
              </w:rPr>
              <w:t>[</w:t>
            </w:r>
            <w:r w:rsidRPr="00A600FE">
              <w:rPr>
                <w:rFonts w:ascii="Palatino Linotype" w:hAnsi="Palatino Linotype"/>
                <w:sz w:val="18"/>
                <w:szCs w:val="18"/>
              </w:rPr>
              <w:t xml:space="preserve">Kuptimi, interpretimi dhe zbatimi i dispozitave të reja të K.Pr.Penale të ndryshuar </w:t>
            </w:r>
            <w:r w:rsidRPr="00A600FE">
              <w:rPr>
                <w:rFonts w:ascii="Palatino Linotype" w:hAnsi="Palatino Linotype"/>
                <w:b/>
                <w:i/>
                <w:sz w:val="18"/>
                <w:szCs w:val="18"/>
              </w:rPr>
              <w:t>(nëse do të jenë bërë ndryshimet e pritshme para se të miratohet program tematik i trajnimit).</w:t>
            </w:r>
            <w:r>
              <w:rPr>
                <w:rFonts w:ascii="Palatino Linotype" w:hAnsi="Palatino Linotype"/>
                <w:b/>
                <w:sz w:val="18"/>
                <w:szCs w:val="18"/>
              </w:rPr>
              <w:t>].</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18</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Veprat penale kompjuterike</w:t>
            </w:r>
            <w:r>
              <w:rPr>
                <w:rFonts w:ascii="Palatino Linotype" w:hAnsi="Palatino Linotype"/>
                <w:sz w:val="18"/>
                <w:szCs w:val="18"/>
              </w:rPr>
              <w:t>.</w:t>
            </w:r>
          </w:p>
          <w:p w:rsidR="00E11796" w:rsidRDefault="00E11796" w:rsidP="00E11796">
            <w:pPr>
              <w:numPr>
                <w:ilvl w:val="0"/>
                <w:numId w:val="83"/>
              </w:numPr>
              <w:spacing w:after="0" w:line="240" w:lineRule="auto"/>
              <w:jc w:val="both"/>
              <w:rPr>
                <w:rFonts w:ascii="Palatino Linotype" w:hAnsi="Palatino Linotype"/>
                <w:sz w:val="18"/>
                <w:szCs w:val="18"/>
              </w:rPr>
            </w:pPr>
            <w:r w:rsidRPr="00A600FE">
              <w:rPr>
                <w:rFonts w:ascii="Palatino Linotype" w:hAnsi="Palatino Linotype"/>
                <w:sz w:val="18"/>
                <w:szCs w:val="18"/>
              </w:rPr>
              <w:t>Kuptimi i elementëve të figurave të reja të krimit k</w:t>
            </w:r>
            <w:r>
              <w:rPr>
                <w:rFonts w:ascii="Palatino Linotype" w:hAnsi="Palatino Linotype"/>
                <w:sz w:val="18"/>
                <w:szCs w:val="18"/>
              </w:rPr>
              <w:t>ompjeturik (kibernetik)</w:t>
            </w:r>
            <w:r w:rsidRPr="00A600FE">
              <w:rPr>
                <w:rFonts w:ascii="Palatino Linotype" w:hAnsi="Palatino Linotype"/>
                <w:sz w:val="18"/>
                <w:szCs w:val="18"/>
              </w:rPr>
              <w:t xml:space="preserve">. </w:t>
            </w:r>
          </w:p>
          <w:p w:rsidR="00E11796" w:rsidRDefault="00E11796" w:rsidP="00E11796">
            <w:pPr>
              <w:numPr>
                <w:ilvl w:val="0"/>
                <w:numId w:val="83"/>
              </w:numPr>
              <w:spacing w:after="0" w:line="240" w:lineRule="auto"/>
              <w:jc w:val="both"/>
              <w:rPr>
                <w:rFonts w:ascii="Palatino Linotype" w:hAnsi="Palatino Linotype"/>
                <w:sz w:val="18"/>
                <w:szCs w:val="18"/>
              </w:rPr>
            </w:pPr>
            <w:r w:rsidRPr="00A600FE">
              <w:rPr>
                <w:rFonts w:ascii="Palatino Linotype" w:hAnsi="Palatino Linotype"/>
                <w:sz w:val="18"/>
                <w:szCs w:val="18"/>
              </w:rPr>
              <w:t>Mashtrimi kompiuterik në sistemin banker. Raporti me veprën penale “Falsifikimi i letrave me vlerë.”</w:t>
            </w:r>
            <w:r>
              <w:rPr>
                <w:rFonts w:ascii="Palatino Linotype" w:hAnsi="Palatino Linotype"/>
                <w:sz w:val="18"/>
                <w:szCs w:val="18"/>
              </w:rPr>
              <w:t>.</w:t>
            </w:r>
          </w:p>
          <w:p w:rsidR="00E11796" w:rsidRDefault="00E11796" w:rsidP="00E11796">
            <w:pPr>
              <w:numPr>
                <w:ilvl w:val="0"/>
                <w:numId w:val="83"/>
              </w:numPr>
              <w:spacing w:after="0" w:line="240" w:lineRule="auto"/>
              <w:jc w:val="both"/>
              <w:rPr>
                <w:rFonts w:ascii="Palatino Linotype" w:hAnsi="Palatino Linotype"/>
                <w:sz w:val="18"/>
                <w:szCs w:val="18"/>
              </w:rPr>
            </w:pPr>
            <w:r w:rsidRPr="00FF4AE1">
              <w:rPr>
                <w:rFonts w:ascii="Palatino Linotype" w:hAnsi="Palatino Linotype"/>
                <w:sz w:val="18"/>
                <w:szCs w:val="18"/>
              </w:rPr>
              <w:t xml:space="preserve">Mashtrimet në siguracion, subvencione dhe kredi. </w:t>
            </w:r>
          </w:p>
          <w:p w:rsidR="00E11796" w:rsidRDefault="00E11796" w:rsidP="00E11796">
            <w:pPr>
              <w:numPr>
                <w:ilvl w:val="0"/>
                <w:numId w:val="83"/>
              </w:numPr>
              <w:spacing w:after="0" w:line="240" w:lineRule="auto"/>
              <w:jc w:val="both"/>
              <w:rPr>
                <w:rFonts w:ascii="Palatino Linotype" w:hAnsi="Palatino Linotype"/>
                <w:sz w:val="18"/>
                <w:szCs w:val="18"/>
              </w:rPr>
            </w:pPr>
            <w:r w:rsidRPr="00FF4AE1">
              <w:rPr>
                <w:rFonts w:ascii="Palatino Linotype" w:hAnsi="Palatino Linotype"/>
                <w:sz w:val="18"/>
                <w:szCs w:val="18"/>
              </w:rPr>
              <w:t>Mashtrimi kompjuterik.</w:t>
            </w:r>
          </w:p>
          <w:p w:rsidR="00E11796" w:rsidRPr="00B06340" w:rsidRDefault="00E11796" w:rsidP="00E11796">
            <w:pPr>
              <w:numPr>
                <w:ilvl w:val="0"/>
                <w:numId w:val="83"/>
              </w:numPr>
              <w:spacing w:after="0" w:line="240" w:lineRule="auto"/>
              <w:jc w:val="both"/>
              <w:rPr>
                <w:rFonts w:ascii="Palatino Linotype" w:hAnsi="Palatino Linotype"/>
                <w:sz w:val="18"/>
                <w:szCs w:val="18"/>
              </w:rPr>
            </w:pPr>
            <w:r w:rsidRPr="00A600FE">
              <w:rPr>
                <w:rFonts w:ascii="Palatino Linotype" w:hAnsi="Palatino Linotype"/>
                <w:sz w:val="18"/>
                <w:szCs w:val="18"/>
              </w:rPr>
              <w:t>Krimi kibernetik dhe provat elektronike.</w:t>
            </w:r>
            <w:r>
              <w:rPr>
                <w:rFonts w:ascii="Palatino Linotype" w:hAnsi="Palatino Linotype"/>
                <w:sz w:val="18"/>
                <w:szCs w:val="18"/>
              </w:rPr>
              <w:t xml:space="preserve"> (IPA)</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19</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sz w:val="18"/>
                <w:szCs w:val="18"/>
              </w:rPr>
            </w:pPr>
            <w:r w:rsidRPr="00A600FE">
              <w:rPr>
                <w:rFonts w:ascii="Palatino Linotype" w:hAnsi="Palatino Linotype"/>
                <w:sz w:val="18"/>
                <w:szCs w:val="18"/>
              </w:rPr>
              <w:t>Kuptimi i mashtrimit në sigurime, neni 145/b I K.Penal. Problemet që evidentohen me praktikën e procedimeve dhe atë gjyqësore lidhur me cilësimin ligjor të kësaj vepre. Dallimi i kësaj vepre me veprat penale të tjera të kryera me anë mashtrimi dhe konkurimi i saj me vepra penale të tjera.</w:t>
            </w:r>
          </w:p>
        </w:tc>
      </w:tr>
      <w:tr w:rsidR="00E11796" w:rsidRPr="00A600FE" w:rsidTr="003B46CD">
        <w:trPr>
          <w:trHeight w:val="1331"/>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20</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Problematikat që dalin gjatë</w:t>
            </w:r>
            <w:r>
              <w:rPr>
                <w:rFonts w:ascii="Palatino Linotype" w:hAnsi="Palatino Linotype"/>
                <w:sz w:val="18"/>
                <w:szCs w:val="18"/>
              </w:rPr>
              <w:t xml:space="preserve"> fazës së hetimit.</w:t>
            </w:r>
          </w:p>
          <w:p w:rsidR="00E11796" w:rsidRDefault="00E11796" w:rsidP="00E11796">
            <w:pPr>
              <w:numPr>
                <w:ilvl w:val="0"/>
                <w:numId w:val="86"/>
              </w:numPr>
              <w:spacing w:after="0" w:line="240" w:lineRule="auto"/>
              <w:jc w:val="both"/>
              <w:rPr>
                <w:rFonts w:ascii="Palatino Linotype" w:hAnsi="Palatino Linotype"/>
                <w:sz w:val="18"/>
                <w:szCs w:val="18"/>
              </w:rPr>
            </w:pPr>
            <w:r>
              <w:rPr>
                <w:rFonts w:ascii="Palatino Linotype" w:hAnsi="Palatino Linotype"/>
                <w:sz w:val="18"/>
                <w:szCs w:val="18"/>
              </w:rPr>
              <w:t>Bashkëpunimi polici-prokurori.</w:t>
            </w:r>
          </w:p>
          <w:p w:rsidR="00E11796" w:rsidRDefault="00E11796" w:rsidP="00E11796">
            <w:pPr>
              <w:numPr>
                <w:ilvl w:val="0"/>
                <w:numId w:val="86"/>
              </w:numPr>
              <w:spacing w:after="0" w:line="240" w:lineRule="auto"/>
              <w:jc w:val="both"/>
              <w:rPr>
                <w:rFonts w:ascii="Palatino Linotype" w:hAnsi="Palatino Linotype"/>
                <w:sz w:val="18"/>
                <w:szCs w:val="18"/>
              </w:rPr>
            </w:pPr>
            <w:r w:rsidRPr="00395B2F">
              <w:rPr>
                <w:rFonts w:ascii="Palatino Linotype" w:hAnsi="Palatino Linotype"/>
                <w:sz w:val="18"/>
                <w:szCs w:val="18"/>
              </w:rPr>
              <w:t>Vendimmarrja dhe kompetencat</w:t>
            </w:r>
            <w:r>
              <w:rPr>
                <w:rFonts w:ascii="Palatino Linotype" w:hAnsi="Palatino Linotype"/>
                <w:sz w:val="18"/>
                <w:szCs w:val="18"/>
              </w:rPr>
              <w:t>.</w:t>
            </w:r>
          </w:p>
          <w:p w:rsidR="00E11796" w:rsidRDefault="00E11796" w:rsidP="00E11796">
            <w:pPr>
              <w:numPr>
                <w:ilvl w:val="0"/>
                <w:numId w:val="86"/>
              </w:numPr>
              <w:spacing w:after="0" w:line="240" w:lineRule="auto"/>
              <w:jc w:val="both"/>
              <w:rPr>
                <w:rFonts w:ascii="Palatino Linotype" w:hAnsi="Palatino Linotype"/>
                <w:sz w:val="18"/>
                <w:szCs w:val="18"/>
              </w:rPr>
            </w:pPr>
            <w:r w:rsidRPr="00395B2F">
              <w:rPr>
                <w:rFonts w:ascii="Palatino Linotype" w:hAnsi="Palatino Linotype"/>
                <w:sz w:val="18"/>
                <w:szCs w:val="18"/>
              </w:rPr>
              <w:t>Afatet e hetimeve paraprake, zgjatja e tyre, procedura që duhet respektuar dhe pasojat që mund të</w:t>
            </w:r>
            <w:r>
              <w:rPr>
                <w:rFonts w:ascii="Palatino Linotype" w:hAnsi="Palatino Linotype"/>
                <w:sz w:val="18"/>
                <w:szCs w:val="18"/>
              </w:rPr>
              <w:t xml:space="preserve"> shkaktohen nga shkelja e tyre.</w:t>
            </w:r>
          </w:p>
          <w:p w:rsidR="00E11796" w:rsidRPr="00B06340" w:rsidRDefault="00E11796" w:rsidP="00E11796">
            <w:pPr>
              <w:numPr>
                <w:ilvl w:val="0"/>
                <w:numId w:val="86"/>
              </w:numPr>
              <w:spacing w:after="0" w:line="240" w:lineRule="auto"/>
              <w:jc w:val="both"/>
              <w:rPr>
                <w:rFonts w:ascii="Palatino Linotype" w:hAnsi="Palatino Linotype"/>
                <w:sz w:val="18"/>
                <w:szCs w:val="18"/>
              </w:rPr>
            </w:pPr>
            <w:r w:rsidRPr="00395B2F">
              <w:rPr>
                <w:rFonts w:ascii="Palatino Linotype" w:hAnsi="Palatino Linotype"/>
                <w:sz w:val="18"/>
                <w:szCs w:val="18"/>
              </w:rPr>
              <w:t>Problemet e evidentuara në praktikën gjyqësore dhe jurisprudence e GjL dhe GjK.</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21</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Ligji për parandalimin dhe goditjen e krimit të organ</w:t>
            </w:r>
            <w:r>
              <w:rPr>
                <w:rFonts w:ascii="Palatino Linotype" w:hAnsi="Palatino Linotype"/>
                <w:sz w:val="18"/>
                <w:szCs w:val="18"/>
              </w:rPr>
              <w:t>iz</w:t>
            </w:r>
            <w:r w:rsidRPr="00A600FE">
              <w:rPr>
                <w:rFonts w:ascii="Palatino Linotype" w:hAnsi="Palatino Linotype"/>
                <w:sz w:val="18"/>
                <w:szCs w:val="18"/>
              </w:rPr>
              <w:t xml:space="preserve">uar. </w:t>
            </w:r>
          </w:p>
          <w:p w:rsidR="00E11796" w:rsidRDefault="00E11796" w:rsidP="00E11796">
            <w:pPr>
              <w:numPr>
                <w:ilvl w:val="0"/>
                <w:numId w:val="84"/>
              </w:numPr>
              <w:spacing w:after="0" w:line="240" w:lineRule="auto"/>
              <w:jc w:val="both"/>
              <w:rPr>
                <w:rFonts w:ascii="Palatino Linotype" w:hAnsi="Palatino Linotype"/>
                <w:sz w:val="18"/>
                <w:szCs w:val="18"/>
              </w:rPr>
            </w:pPr>
            <w:r w:rsidRPr="00A600FE">
              <w:rPr>
                <w:rFonts w:ascii="Palatino Linotype" w:hAnsi="Palatino Linotype"/>
                <w:sz w:val="18"/>
                <w:szCs w:val="18"/>
              </w:rPr>
              <w:t xml:space="preserve">Kuptimi dhe zbatimi i koncepteve të reja. Hetimi i aseteve kriminale dhe rakordimi me hetimin e veprave penale. </w:t>
            </w:r>
          </w:p>
          <w:p w:rsidR="00E11796" w:rsidRPr="00A600FE" w:rsidRDefault="00E11796" w:rsidP="00E11796">
            <w:pPr>
              <w:numPr>
                <w:ilvl w:val="0"/>
                <w:numId w:val="84"/>
              </w:numPr>
              <w:spacing w:after="0" w:line="240" w:lineRule="auto"/>
              <w:jc w:val="both"/>
              <w:rPr>
                <w:rFonts w:ascii="Palatino Linotype" w:hAnsi="Palatino Linotype"/>
                <w:sz w:val="18"/>
                <w:szCs w:val="18"/>
              </w:rPr>
            </w:pPr>
            <w:r w:rsidRPr="00A600FE">
              <w:rPr>
                <w:rFonts w:ascii="Palatino Linotype" w:hAnsi="Palatino Linotype"/>
                <w:sz w:val="18"/>
                <w:szCs w:val="18"/>
              </w:rPr>
              <w:t>Jurisprudenca e GjL.</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22</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Vepra penale e Trafikimit të narkotikëve.</w:t>
            </w:r>
          </w:p>
          <w:p w:rsidR="00E11796" w:rsidRDefault="00E11796" w:rsidP="00E11796">
            <w:pPr>
              <w:numPr>
                <w:ilvl w:val="0"/>
                <w:numId w:val="85"/>
              </w:numPr>
              <w:spacing w:after="0" w:line="240" w:lineRule="auto"/>
              <w:jc w:val="both"/>
              <w:rPr>
                <w:rFonts w:ascii="Palatino Linotype" w:hAnsi="Palatino Linotype"/>
                <w:sz w:val="18"/>
                <w:szCs w:val="18"/>
              </w:rPr>
            </w:pPr>
            <w:r w:rsidRPr="00A600FE">
              <w:rPr>
                <w:rFonts w:ascii="Palatino Linotype" w:hAnsi="Palatino Linotype"/>
                <w:sz w:val="18"/>
                <w:szCs w:val="18"/>
              </w:rPr>
              <w:t xml:space="preserve">Metodat e hetimit të veprave penale të </w:t>
            </w:r>
            <w:r>
              <w:rPr>
                <w:rFonts w:ascii="Palatino Linotype" w:hAnsi="Palatino Linotype"/>
                <w:sz w:val="18"/>
                <w:szCs w:val="18"/>
              </w:rPr>
              <w:t>trafikimit të lëndëve narkotike.</w:t>
            </w:r>
          </w:p>
          <w:p w:rsidR="00E11796" w:rsidRDefault="00E11796" w:rsidP="00E11796">
            <w:pPr>
              <w:numPr>
                <w:ilvl w:val="0"/>
                <w:numId w:val="85"/>
              </w:numPr>
              <w:spacing w:after="0" w:line="240" w:lineRule="auto"/>
              <w:jc w:val="both"/>
              <w:rPr>
                <w:rFonts w:ascii="Palatino Linotype" w:hAnsi="Palatino Linotype"/>
                <w:sz w:val="18"/>
                <w:szCs w:val="18"/>
              </w:rPr>
            </w:pPr>
            <w:r>
              <w:rPr>
                <w:rFonts w:ascii="Palatino Linotype" w:hAnsi="Palatino Linotype"/>
                <w:sz w:val="18"/>
                <w:szCs w:val="18"/>
              </w:rPr>
              <w:t>Z</w:t>
            </w:r>
            <w:r w:rsidRPr="00A600FE">
              <w:rPr>
                <w:rFonts w:ascii="Palatino Linotype" w:hAnsi="Palatino Linotype"/>
                <w:sz w:val="18"/>
                <w:szCs w:val="18"/>
              </w:rPr>
              <w:t xml:space="preserve">batimi i metodave speciale. </w:t>
            </w:r>
          </w:p>
          <w:p w:rsidR="00E11796" w:rsidRPr="00B06340" w:rsidRDefault="00E11796" w:rsidP="00E11796">
            <w:pPr>
              <w:numPr>
                <w:ilvl w:val="0"/>
                <w:numId w:val="85"/>
              </w:numPr>
              <w:spacing w:after="0" w:line="240" w:lineRule="auto"/>
              <w:jc w:val="both"/>
              <w:rPr>
                <w:rFonts w:ascii="Palatino Linotype" w:hAnsi="Palatino Linotype"/>
                <w:sz w:val="18"/>
                <w:szCs w:val="18"/>
              </w:rPr>
            </w:pPr>
            <w:r w:rsidRPr="00A600FE">
              <w:rPr>
                <w:rFonts w:ascii="Palatino Linotype" w:hAnsi="Palatino Linotype"/>
                <w:sz w:val="18"/>
                <w:szCs w:val="18"/>
              </w:rPr>
              <w:t>Probleme të praktikës gjyqësore lidhur me kuptimin e bashkëpunimit dhe tentavivë</w:t>
            </w:r>
            <w:r>
              <w:rPr>
                <w:rFonts w:ascii="Palatino Linotype" w:hAnsi="Palatino Linotype"/>
                <w:sz w:val="18"/>
                <w:szCs w:val="18"/>
              </w:rPr>
              <w:t>s</w:t>
            </w:r>
            <w:r w:rsidRPr="00A600FE">
              <w:rPr>
                <w:rFonts w:ascii="Palatino Linotype" w:hAnsi="Palatino Linotype"/>
                <w:sz w:val="18"/>
                <w:szCs w:val="18"/>
              </w:rPr>
              <w:t xml:space="preserve"> për kryerjen e kësaj vepre.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23</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sz w:val="18"/>
                <w:szCs w:val="18"/>
              </w:rPr>
            </w:pPr>
            <w:r w:rsidRPr="00A600FE">
              <w:rPr>
                <w:rFonts w:ascii="Palatino Linotype" w:hAnsi="Palatino Linotype"/>
                <w:sz w:val="18"/>
                <w:szCs w:val="18"/>
                <w:lang w:val="it-IT"/>
              </w:rPr>
              <w:t>Kuptimi i formave të bashkëpunimit të posaçëm. Probleme praktike të dallimit ndërmjet grupit të strukturuar dhe organizatës kriminale, në përqasje me konventat ndërkombëtare dhe normativën e huaj.</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24</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Jurisprudenca e GJEDNJ për çështjet kundër Shqipërisë</w:t>
            </w:r>
            <w:r>
              <w:rPr>
                <w:rFonts w:ascii="Palatino Linotype" w:hAnsi="Palatino Linotype"/>
                <w:sz w:val="18"/>
                <w:szCs w:val="18"/>
              </w:rPr>
              <w:t>, në fushë penale.</w:t>
            </w:r>
          </w:p>
          <w:p w:rsidR="00E11796" w:rsidRPr="00A600FE" w:rsidRDefault="00E11796" w:rsidP="003B46CD">
            <w:pPr>
              <w:jc w:val="both"/>
              <w:rPr>
                <w:rFonts w:ascii="Palatino Linotype" w:hAnsi="Palatino Linotype"/>
                <w:sz w:val="18"/>
                <w:szCs w:val="18"/>
                <w:lang w:val="it-IT"/>
              </w:rPr>
            </w:pPr>
            <w:r>
              <w:rPr>
                <w:rFonts w:ascii="Palatino Linotype" w:hAnsi="Palatino Linotype"/>
                <w:sz w:val="18"/>
                <w:szCs w:val="18"/>
              </w:rPr>
              <w:t>Zbatimi i tyre në praktikën gjyqësore.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25</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sz w:val="18"/>
                <w:szCs w:val="18"/>
              </w:rPr>
            </w:pPr>
            <w:r w:rsidRPr="00A600FE">
              <w:rPr>
                <w:rFonts w:ascii="Palatino Linotype" w:hAnsi="Palatino Linotype"/>
                <w:sz w:val="18"/>
                <w:szCs w:val="18"/>
              </w:rPr>
              <w:t>Mjetet e kërkimit të</w:t>
            </w:r>
            <w:r>
              <w:rPr>
                <w:rFonts w:ascii="Palatino Linotype" w:hAnsi="Palatino Linotype"/>
                <w:sz w:val="18"/>
                <w:szCs w:val="18"/>
              </w:rPr>
              <w:t xml:space="preserve"> proves. Njohja dhe zbatimi i</w:t>
            </w:r>
            <w:r w:rsidRPr="00A600FE">
              <w:rPr>
                <w:rFonts w:ascii="Palatino Linotype" w:hAnsi="Palatino Linotype"/>
                <w:sz w:val="18"/>
                <w:szCs w:val="18"/>
              </w:rPr>
              <w:t xml:space="preserve"> tyre.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26</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P</w:t>
            </w:r>
            <w:r w:rsidRPr="00A600FE">
              <w:rPr>
                <w:rFonts w:ascii="Palatino Linotype" w:hAnsi="Palatino Linotype"/>
                <w:sz w:val="18"/>
                <w:szCs w:val="18"/>
              </w:rPr>
              <w:t>yetja e të pandehurit</w:t>
            </w:r>
            <w:r>
              <w:rPr>
                <w:rFonts w:ascii="Palatino Linotype" w:hAnsi="Palatino Linotype"/>
                <w:sz w:val="18"/>
                <w:szCs w:val="18"/>
              </w:rPr>
              <w:t>,</w:t>
            </w:r>
            <w:r w:rsidRPr="00A600FE">
              <w:rPr>
                <w:rFonts w:ascii="Palatino Linotype" w:hAnsi="Palatino Linotype"/>
                <w:sz w:val="18"/>
                <w:szCs w:val="18"/>
              </w:rPr>
              <w:t xml:space="preserve"> deklarimet e të bashkëpandehurit ose të pandehurit në një procedim të lidhur. </w:t>
            </w:r>
          </w:p>
          <w:p w:rsidR="00E11796" w:rsidRDefault="00E11796" w:rsidP="00E11796">
            <w:pPr>
              <w:numPr>
                <w:ilvl w:val="0"/>
                <w:numId w:val="87"/>
              </w:numPr>
              <w:spacing w:after="0" w:line="240" w:lineRule="auto"/>
              <w:jc w:val="both"/>
              <w:rPr>
                <w:rFonts w:ascii="Palatino Linotype" w:hAnsi="Palatino Linotype"/>
                <w:sz w:val="18"/>
                <w:szCs w:val="18"/>
              </w:rPr>
            </w:pPr>
            <w:r w:rsidRPr="00A600FE">
              <w:rPr>
                <w:rFonts w:ascii="Palatino Linotype" w:hAnsi="Palatino Linotype"/>
                <w:sz w:val="18"/>
                <w:szCs w:val="18"/>
              </w:rPr>
              <w:t>Kriteret e v</w:t>
            </w:r>
            <w:r>
              <w:rPr>
                <w:rFonts w:ascii="Palatino Linotype" w:hAnsi="Palatino Linotype"/>
                <w:sz w:val="18"/>
                <w:szCs w:val="18"/>
              </w:rPr>
              <w:t>lerësimit të fakteve që burojnë.</w:t>
            </w:r>
          </w:p>
          <w:p w:rsidR="00E11796" w:rsidRDefault="00E11796" w:rsidP="00E11796">
            <w:pPr>
              <w:numPr>
                <w:ilvl w:val="0"/>
                <w:numId w:val="87"/>
              </w:numPr>
              <w:spacing w:after="0" w:line="240" w:lineRule="auto"/>
              <w:jc w:val="both"/>
              <w:rPr>
                <w:rFonts w:ascii="Palatino Linotype" w:hAnsi="Palatino Linotype"/>
                <w:sz w:val="18"/>
                <w:szCs w:val="18"/>
              </w:rPr>
            </w:pPr>
            <w:r w:rsidRPr="00A600FE">
              <w:rPr>
                <w:rFonts w:ascii="Palatino Linotype" w:hAnsi="Palatino Linotype"/>
                <w:sz w:val="18"/>
                <w:szCs w:val="18"/>
              </w:rPr>
              <w:t>Regjimi pë</w:t>
            </w:r>
            <w:r>
              <w:rPr>
                <w:rFonts w:ascii="Palatino Linotype" w:hAnsi="Palatino Linotype"/>
                <w:sz w:val="18"/>
                <w:szCs w:val="18"/>
              </w:rPr>
              <w:t>rkatës i leximeve të lejueshme.</w:t>
            </w:r>
          </w:p>
          <w:p w:rsidR="00E11796" w:rsidRPr="00A600FE" w:rsidRDefault="00E11796" w:rsidP="00E11796">
            <w:pPr>
              <w:numPr>
                <w:ilvl w:val="0"/>
                <w:numId w:val="87"/>
              </w:numPr>
              <w:spacing w:after="0" w:line="240" w:lineRule="auto"/>
              <w:jc w:val="both"/>
              <w:rPr>
                <w:rFonts w:ascii="Palatino Linotype" w:hAnsi="Palatino Linotype"/>
                <w:sz w:val="18"/>
                <w:szCs w:val="18"/>
              </w:rPr>
            </w:pPr>
            <w:r w:rsidRPr="00A600FE">
              <w:rPr>
                <w:rFonts w:ascii="Palatino Linotype" w:hAnsi="Palatino Linotype"/>
                <w:sz w:val="18"/>
                <w:szCs w:val="18"/>
              </w:rPr>
              <w:t>Respektimi i kontradiktoritetit në përqasje me jurisprudencën e GJEDNJ.</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27</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sz w:val="18"/>
                <w:szCs w:val="18"/>
              </w:rPr>
            </w:pPr>
            <w:r w:rsidRPr="00A600FE">
              <w:rPr>
                <w:rFonts w:ascii="Palatino Linotype" w:hAnsi="Palatino Linotype"/>
                <w:sz w:val="18"/>
                <w:szCs w:val="18"/>
              </w:rPr>
              <w:t>Vepra penale dhe llojet e saj.</w:t>
            </w:r>
          </w:p>
          <w:p w:rsidR="00E11796" w:rsidRPr="00A600FE" w:rsidRDefault="00E11796" w:rsidP="00E11796">
            <w:pPr>
              <w:numPr>
                <w:ilvl w:val="0"/>
                <w:numId w:val="37"/>
              </w:numPr>
              <w:spacing w:after="0" w:line="240" w:lineRule="auto"/>
              <w:jc w:val="both"/>
              <w:rPr>
                <w:rFonts w:ascii="Palatino Linotype" w:hAnsi="Palatino Linotype"/>
                <w:sz w:val="18"/>
                <w:szCs w:val="18"/>
              </w:rPr>
            </w:pPr>
            <w:r w:rsidRPr="00A600FE">
              <w:rPr>
                <w:rFonts w:ascii="Palatino Linotype" w:hAnsi="Palatino Linotype"/>
                <w:sz w:val="18"/>
                <w:szCs w:val="18"/>
              </w:rPr>
              <w:t>Elementët.</w:t>
            </w:r>
          </w:p>
          <w:p w:rsidR="00E11796" w:rsidRPr="00A600FE" w:rsidRDefault="00E11796" w:rsidP="00E11796">
            <w:pPr>
              <w:numPr>
                <w:ilvl w:val="0"/>
                <w:numId w:val="37"/>
              </w:numPr>
              <w:spacing w:after="0" w:line="240" w:lineRule="auto"/>
              <w:jc w:val="both"/>
              <w:rPr>
                <w:rFonts w:ascii="Palatino Linotype" w:hAnsi="Palatino Linotype"/>
                <w:sz w:val="18"/>
                <w:szCs w:val="18"/>
              </w:rPr>
            </w:pPr>
            <w:r w:rsidRPr="00A600FE">
              <w:rPr>
                <w:rFonts w:ascii="Palatino Linotype" w:hAnsi="Palatino Linotype"/>
                <w:sz w:val="18"/>
                <w:szCs w:val="18"/>
              </w:rPr>
              <w:t>Llojet dhe klasifikimet.</w:t>
            </w:r>
          </w:p>
          <w:p w:rsidR="00E11796" w:rsidRPr="00A600FE" w:rsidRDefault="00E11796" w:rsidP="00E11796">
            <w:pPr>
              <w:numPr>
                <w:ilvl w:val="0"/>
                <w:numId w:val="37"/>
              </w:numPr>
              <w:spacing w:after="0" w:line="240" w:lineRule="auto"/>
              <w:jc w:val="both"/>
              <w:rPr>
                <w:rFonts w:ascii="Palatino Linotype" w:hAnsi="Palatino Linotype"/>
                <w:sz w:val="18"/>
                <w:szCs w:val="18"/>
              </w:rPr>
            </w:pPr>
            <w:r w:rsidRPr="00A600FE">
              <w:rPr>
                <w:rFonts w:ascii="Palatino Linotype" w:hAnsi="Palatino Linotype"/>
                <w:sz w:val="18"/>
                <w:szCs w:val="18"/>
              </w:rPr>
              <w:t>Tentativa.</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28</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both"/>
              <w:rPr>
                <w:rFonts w:ascii="Palatino Linotype" w:hAnsi="Palatino Linotype"/>
                <w:sz w:val="18"/>
                <w:szCs w:val="18"/>
              </w:rPr>
            </w:pPr>
            <w:r>
              <w:rPr>
                <w:rFonts w:ascii="Palatino Linotype" w:hAnsi="Palatino Linotype"/>
                <w:sz w:val="18"/>
                <w:szCs w:val="18"/>
              </w:rPr>
              <w:t>Krimet kundër mjedisit</w:t>
            </w:r>
            <w:r w:rsidRPr="00A600FE">
              <w:rPr>
                <w:rFonts w:ascii="Palatino Linotype" w:hAnsi="Palatino Linotype"/>
                <w:sz w:val="18"/>
                <w:szCs w:val="18"/>
              </w:rPr>
              <w:t>.</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29</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Njohja dhe g</w:t>
            </w:r>
            <w:r w:rsidRPr="00A600FE">
              <w:rPr>
                <w:rFonts w:ascii="Palatino Linotype" w:hAnsi="Palatino Linotype"/>
                <w:sz w:val="18"/>
                <w:szCs w:val="18"/>
              </w:rPr>
              <w:t>arantimi i së drejtës së mbrojtjes me avokat</w:t>
            </w:r>
            <w:r>
              <w:rPr>
                <w:rFonts w:ascii="Palatino Linotype" w:hAnsi="Palatino Linotype"/>
                <w:sz w:val="18"/>
                <w:szCs w:val="18"/>
              </w:rPr>
              <w:t xml:space="preserve"> në procesin penal.</w:t>
            </w:r>
          </w:p>
          <w:p w:rsidR="00E11796" w:rsidRDefault="00E11796" w:rsidP="00E11796">
            <w:pPr>
              <w:numPr>
                <w:ilvl w:val="0"/>
                <w:numId w:val="88"/>
              </w:numPr>
              <w:spacing w:after="0" w:line="240" w:lineRule="auto"/>
              <w:jc w:val="both"/>
              <w:rPr>
                <w:rFonts w:ascii="Palatino Linotype" w:hAnsi="Palatino Linotype"/>
                <w:sz w:val="18"/>
                <w:szCs w:val="18"/>
              </w:rPr>
            </w:pPr>
            <w:r>
              <w:rPr>
                <w:rFonts w:ascii="Palatino Linotype" w:hAnsi="Palatino Linotype"/>
                <w:sz w:val="18"/>
                <w:szCs w:val="18"/>
              </w:rPr>
              <w:t>Paraqitja për njohje me</w:t>
            </w:r>
            <w:r w:rsidRPr="00A600FE">
              <w:rPr>
                <w:rFonts w:ascii="Palatino Linotype" w:hAnsi="Palatino Linotype"/>
                <w:sz w:val="18"/>
                <w:szCs w:val="18"/>
              </w:rPr>
              <w:t xml:space="preserve"> fotografi</w:t>
            </w:r>
            <w:r>
              <w:rPr>
                <w:rFonts w:ascii="Palatino Linotype" w:hAnsi="Palatino Linotype"/>
                <w:sz w:val="18"/>
                <w:szCs w:val="18"/>
              </w:rPr>
              <w:t>.</w:t>
            </w:r>
          </w:p>
          <w:p w:rsidR="00E11796" w:rsidRDefault="00E11796" w:rsidP="00E11796">
            <w:pPr>
              <w:numPr>
                <w:ilvl w:val="0"/>
                <w:numId w:val="88"/>
              </w:numPr>
              <w:spacing w:after="0" w:line="240" w:lineRule="auto"/>
              <w:jc w:val="both"/>
              <w:rPr>
                <w:rFonts w:ascii="Palatino Linotype" w:hAnsi="Palatino Linotype"/>
                <w:sz w:val="18"/>
                <w:szCs w:val="18"/>
              </w:rPr>
            </w:pPr>
            <w:r w:rsidRPr="00A50F2C">
              <w:rPr>
                <w:rFonts w:ascii="Palatino Linotype" w:hAnsi="Palatino Linotype"/>
                <w:sz w:val="18"/>
                <w:szCs w:val="18"/>
              </w:rPr>
              <w:t>Respektimi i kohëzgjatjes së procedurave gjyqësore sipas afateve të përcaktuara me ligj.</w:t>
            </w:r>
          </w:p>
          <w:p w:rsidR="00E11796" w:rsidRDefault="00E11796" w:rsidP="00E11796">
            <w:pPr>
              <w:numPr>
                <w:ilvl w:val="0"/>
                <w:numId w:val="88"/>
              </w:numPr>
              <w:spacing w:after="0" w:line="240" w:lineRule="auto"/>
              <w:jc w:val="both"/>
              <w:rPr>
                <w:rFonts w:ascii="Palatino Linotype" w:hAnsi="Palatino Linotype"/>
                <w:sz w:val="18"/>
                <w:szCs w:val="18"/>
              </w:rPr>
            </w:pPr>
            <w:r w:rsidRPr="00A50F2C">
              <w:rPr>
                <w:rFonts w:ascii="Palatino Linotype" w:hAnsi="Palatino Linotype"/>
                <w:sz w:val="18"/>
                <w:szCs w:val="18"/>
              </w:rPr>
              <w:t>Sigurimi i paraqitjes së dëshmitarëve në gjyq, si dhe t</w:t>
            </w:r>
            <w:r>
              <w:rPr>
                <w:rFonts w:ascii="Palatino Linotype" w:hAnsi="Palatino Linotype"/>
                <w:sz w:val="18"/>
                <w:szCs w:val="18"/>
              </w:rPr>
              <w:t>ë</w:t>
            </w:r>
            <w:r w:rsidRPr="00A50F2C">
              <w:rPr>
                <w:rFonts w:ascii="Palatino Linotype" w:hAnsi="Palatino Linotype"/>
                <w:sz w:val="18"/>
                <w:szCs w:val="18"/>
              </w:rPr>
              <w:t xml:space="preserve"> d</w:t>
            </w:r>
            <w:r>
              <w:rPr>
                <w:rFonts w:ascii="Palatino Linotype" w:hAnsi="Palatino Linotype"/>
                <w:sz w:val="18"/>
                <w:szCs w:val="18"/>
              </w:rPr>
              <w:t>ë</w:t>
            </w:r>
            <w:r w:rsidRPr="00A50F2C">
              <w:rPr>
                <w:rFonts w:ascii="Palatino Linotype" w:hAnsi="Palatino Linotype"/>
                <w:sz w:val="18"/>
                <w:szCs w:val="18"/>
              </w:rPr>
              <w:t>shmitar</w:t>
            </w:r>
            <w:r>
              <w:rPr>
                <w:rFonts w:ascii="Palatino Linotype" w:hAnsi="Palatino Linotype"/>
                <w:sz w:val="18"/>
                <w:szCs w:val="18"/>
              </w:rPr>
              <w:t>ë</w:t>
            </w:r>
            <w:r w:rsidRPr="00A50F2C">
              <w:rPr>
                <w:rFonts w:ascii="Palatino Linotype" w:hAnsi="Palatino Linotype"/>
                <w:sz w:val="18"/>
                <w:szCs w:val="18"/>
              </w:rPr>
              <w:t>ve funksionarë të shtetit, (p.sh. oficerë të policisë gjyqësore)</w:t>
            </w:r>
            <w:r>
              <w:rPr>
                <w:rFonts w:ascii="Palatino Linotype" w:hAnsi="Palatino Linotype"/>
                <w:sz w:val="18"/>
                <w:szCs w:val="18"/>
              </w:rPr>
              <w:t>.</w:t>
            </w:r>
          </w:p>
          <w:p w:rsidR="00E11796" w:rsidRDefault="00E11796" w:rsidP="00E11796">
            <w:pPr>
              <w:numPr>
                <w:ilvl w:val="0"/>
                <w:numId w:val="88"/>
              </w:numPr>
              <w:spacing w:after="0" w:line="240" w:lineRule="auto"/>
              <w:jc w:val="both"/>
              <w:rPr>
                <w:rFonts w:ascii="Palatino Linotype" w:hAnsi="Palatino Linotype"/>
                <w:sz w:val="18"/>
                <w:szCs w:val="18"/>
              </w:rPr>
            </w:pPr>
            <w:r w:rsidRPr="00A50F2C">
              <w:rPr>
                <w:rFonts w:ascii="Palatino Linotype" w:hAnsi="Palatino Linotype"/>
                <w:sz w:val="18"/>
                <w:szCs w:val="18"/>
              </w:rPr>
              <w:t>Çështjet që lidhen me procedurën e gjykimit të kërkesës për sigurim prove.</w:t>
            </w:r>
          </w:p>
          <w:p w:rsidR="00E11796" w:rsidRDefault="00E11796" w:rsidP="00E11796">
            <w:pPr>
              <w:numPr>
                <w:ilvl w:val="0"/>
                <w:numId w:val="88"/>
              </w:numPr>
              <w:spacing w:after="0" w:line="240" w:lineRule="auto"/>
              <w:jc w:val="both"/>
              <w:rPr>
                <w:rFonts w:ascii="Palatino Linotype" w:hAnsi="Palatino Linotype"/>
                <w:sz w:val="18"/>
                <w:szCs w:val="18"/>
              </w:rPr>
            </w:pPr>
            <w:r>
              <w:rPr>
                <w:rFonts w:ascii="Palatino Linotype" w:hAnsi="Palatino Linotype"/>
                <w:sz w:val="18"/>
                <w:szCs w:val="18"/>
              </w:rPr>
              <w:t>Njoftimi i kërkesës për gjykim</w:t>
            </w:r>
            <w:r w:rsidRPr="00A600FE">
              <w:rPr>
                <w:rFonts w:ascii="Palatino Linotype" w:hAnsi="Palatino Linotype"/>
                <w:sz w:val="18"/>
                <w:szCs w:val="18"/>
              </w:rPr>
              <w:t xml:space="preserve"> të pandehurit dhe mbrojtësit të tij. </w:t>
            </w:r>
          </w:p>
          <w:p w:rsidR="00E11796" w:rsidRPr="00A600FE" w:rsidRDefault="00E11796" w:rsidP="00E11796">
            <w:pPr>
              <w:numPr>
                <w:ilvl w:val="0"/>
                <w:numId w:val="88"/>
              </w:numPr>
              <w:spacing w:after="0" w:line="240" w:lineRule="auto"/>
              <w:jc w:val="both"/>
              <w:rPr>
                <w:rFonts w:ascii="Palatino Linotype" w:hAnsi="Palatino Linotype"/>
                <w:sz w:val="18"/>
                <w:szCs w:val="18"/>
              </w:rPr>
            </w:pPr>
            <w:r w:rsidRPr="00A600FE">
              <w:rPr>
                <w:rFonts w:ascii="Palatino Linotype" w:hAnsi="Palatino Linotype"/>
                <w:sz w:val="18"/>
                <w:szCs w:val="18"/>
              </w:rPr>
              <w:t>Respektimi i afatit kohor në dispozicion të të pandehurit dhe avokatit të tij për t’u njohur me provat</w:t>
            </w:r>
            <w:r>
              <w:rPr>
                <w:rFonts w:ascii="Palatino Linotype" w:hAnsi="Palatino Linotype"/>
                <w:sz w:val="18"/>
                <w:szCs w:val="18"/>
              </w:rPr>
              <w:t>.</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30</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pStyle w:val="ListParagraph"/>
              <w:spacing w:after="0"/>
              <w:ind w:left="0"/>
              <w:jc w:val="both"/>
              <w:rPr>
                <w:rFonts w:ascii="Palatino Linotype" w:hAnsi="Palatino Linotype"/>
                <w:sz w:val="18"/>
                <w:szCs w:val="18"/>
              </w:rPr>
            </w:pPr>
            <w:r w:rsidRPr="00A600FE">
              <w:rPr>
                <w:rFonts w:ascii="Palatino Linotype" w:hAnsi="Palatino Linotype"/>
                <w:sz w:val="18"/>
                <w:szCs w:val="18"/>
              </w:rPr>
              <w:t>Masat e si</w:t>
            </w:r>
            <w:r>
              <w:rPr>
                <w:rFonts w:ascii="Palatino Linotype" w:hAnsi="Palatino Linotype"/>
                <w:sz w:val="18"/>
                <w:szCs w:val="18"/>
              </w:rPr>
              <w:t xml:space="preserve">gurimit personal </w:t>
            </w:r>
            <w:r w:rsidRPr="00A600FE">
              <w:rPr>
                <w:rFonts w:ascii="Palatino Linotype" w:hAnsi="Palatino Linotype"/>
                <w:sz w:val="18"/>
                <w:szCs w:val="18"/>
              </w:rPr>
              <w:t>dhe problematika që mbart seanca për shqyrtimin e tyre.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31</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pStyle w:val="ListParagraph"/>
              <w:spacing w:after="0"/>
              <w:ind w:left="0"/>
              <w:jc w:val="both"/>
              <w:rPr>
                <w:rFonts w:ascii="Palatino Linotype" w:hAnsi="Palatino Linotype"/>
                <w:sz w:val="18"/>
                <w:szCs w:val="18"/>
              </w:rPr>
            </w:pPr>
            <w:r w:rsidRPr="00A600FE">
              <w:rPr>
                <w:rFonts w:ascii="Palatino Linotype" w:hAnsi="Palatino Linotype"/>
                <w:sz w:val="18"/>
                <w:szCs w:val="18"/>
              </w:rPr>
              <w:t>Problematikat e gjykimit të drejtpërdrejtë.</w:t>
            </w:r>
            <w:r>
              <w:rPr>
                <w:rFonts w:ascii="Palatino Linotype" w:hAnsi="Palatino Linotype"/>
                <w:sz w:val="18"/>
                <w:szCs w:val="18"/>
              </w:rPr>
              <w:t xml:space="preserve"> Gjykimet e posacme dhe gjykimet e shkurtuara.</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B 32</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pStyle w:val="ListParagraph"/>
              <w:spacing w:after="0"/>
              <w:ind w:left="0"/>
              <w:jc w:val="both"/>
              <w:rPr>
                <w:rFonts w:ascii="Palatino Linotype" w:hAnsi="Palatino Linotype"/>
                <w:sz w:val="18"/>
                <w:szCs w:val="18"/>
              </w:rPr>
            </w:pPr>
            <w:r w:rsidRPr="00A600FE">
              <w:rPr>
                <w:rFonts w:ascii="Palatino Linotype" w:hAnsi="Palatino Linotype"/>
                <w:sz w:val="18"/>
                <w:szCs w:val="18"/>
              </w:rPr>
              <w:t>Trukimet në fushën sportive, problemet të hetimit dhe të gjykimit të këtyre çështjeve.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B97F85" w:rsidRDefault="00E11796" w:rsidP="003B46CD">
            <w:pPr>
              <w:jc w:val="center"/>
              <w:rPr>
                <w:rFonts w:ascii="Palatino Linotype" w:hAnsi="Palatino Linotype"/>
                <w:b/>
                <w:sz w:val="18"/>
                <w:szCs w:val="18"/>
              </w:rPr>
            </w:pPr>
            <w:r>
              <w:rPr>
                <w:rFonts w:ascii="Palatino Linotype" w:hAnsi="Palatino Linotype"/>
                <w:b/>
                <w:sz w:val="18"/>
                <w:szCs w:val="18"/>
              </w:rPr>
              <w:t>B 33</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Marrëdhëniet jur</w:t>
            </w:r>
            <w:r>
              <w:rPr>
                <w:rFonts w:ascii="Palatino Linotype" w:hAnsi="Palatino Linotype"/>
                <w:sz w:val="18"/>
                <w:szCs w:val="18"/>
              </w:rPr>
              <w:t>i</w:t>
            </w:r>
            <w:r w:rsidRPr="00A600FE">
              <w:rPr>
                <w:rFonts w:ascii="Palatino Linotype" w:hAnsi="Palatino Linotype"/>
                <w:sz w:val="18"/>
                <w:szCs w:val="18"/>
              </w:rPr>
              <w:t>diksionale me jashtë</w:t>
            </w:r>
            <w:r>
              <w:rPr>
                <w:rFonts w:ascii="Palatino Linotype" w:hAnsi="Palatino Linotype"/>
                <w:sz w:val="18"/>
                <w:szCs w:val="18"/>
              </w:rPr>
              <w:t xml:space="preserve"> në fushën penale</w:t>
            </w:r>
            <w:r w:rsidRPr="00A600FE">
              <w:rPr>
                <w:rFonts w:ascii="Palatino Linotype" w:hAnsi="Palatino Linotype"/>
                <w:sz w:val="18"/>
                <w:szCs w:val="18"/>
              </w:rPr>
              <w:t>.</w:t>
            </w:r>
          </w:p>
          <w:p w:rsidR="00E11796" w:rsidRDefault="00E11796" w:rsidP="00E11796">
            <w:pPr>
              <w:numPr>
                <w:ilvl w:val="0"/>
                <w:numId w:val="76"/>
              </w:numPr>
              <w:spacing w:after="0" w:line="240" w:lineRule="auto"/>
              <w:jc w:val="both"/>
              <w:rPr>
                <w:rFonts w:ascii="Palatino Linotype" w:hAnsi="Palatino Linotype"/>
                <w:sz w:val="18"/>
                <w:szCs w:val="18"/>
              </w:rPr>
            </w:pPr>
            <w:r w:rsidRPr="00A600FE">
              <w:rPr>
                <w:rFonts w:ascii="Palatino Linotype" w:hAnsi="Palatino Linotype"/>
                <w:sz w:val="18"/>
                <w:szCs w:val="18"/>
              </w:rPr>
              <w:t>Njohja e vendimeve penale të huaja në bazë të Konevntës Evropiane për Vlefshmërinë Ndërkombëtare të vendimeve penale (1970) dhe zbatimi i nenit 23 të kësaj konvente</w:t>
            </w:r>
            <w:r>
              <w:rPr>
                <w:rFonts w:ascii="Palatino Linotype" w:hAnsi="Palatino Linotype"/>
                <w:sz w:val="18"/>
                <w:szCs w:val="18"/>
              </w:rPr>
              <w:t>.</w:t>
            </w:r>
          </w:p>
          <w:p w:rsidR="00E11796" w:rsidRPr="00A600FE" w:rsidRDefault="00E11796" w:rsidP="00E11796">
            <w:pPr>
              <w:numPr>
                <w:ilvl w:val="0"/>
                <w:numId w:val="76"/>
              </w:numPr>
              <w:spacing w:after="0" w:line="240" w:lineRule="auto"/>
              <w:jc w:val="both"/>
              <w:rPr>
                <w:rFonts w:ascii="Palatino Linotype" w:hAnsi="Palatino Linotype"/>
                <w:sz w:val="18"/>
                <w:szCs w:val="18"/>
              </w:rPr>
            </w:pPr>
            <w:r w:rsidRPr="00A600FE">
              <w:rPr>
                <w:rFonts w:ascii="Palatino Linotype" w:hAnsi="Palatino Linotype"/>
                <w:sz w:val="18"/>
                <w:szCs w:val="18"/>
              </w:rPr>
              <w:t>Kërkesa e personit të ekstraduar nga jashtë për të kërkuar rivendosjen në afat..</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4"/>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center"/>
              <w:rPr>
                <w:rFonts w:ascii="Palatino Linotype" w:hAnsi="Palatino Linotype"/>
                <w:b/>
                <w:sz w:val="18"/>
                <w:szCs w:val="18"/>
              </w:rPr>
            </w:pPr>
            <w:r>
              <w:rPr>
                <w:rFonts w:ascii="Palatino Linotype" w:hAnsi="Palatino Linotype"/>
                <w:b/>
                <w:sz w:val="18"/>
                <w:szCs w:val="18"/>
              </w:rPr>
              <w:t>B 34</w:t>
            </w:r>
          </w:p>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Aktivitet ndërdisiplinor</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Dhuna në familje</w:t>
            </w:r>
            <w:r>
              <w:rPr>
                <w:rFonts w:ascii="Palatino Linotype" w:hAnsi="Palatino Linotype"/>
                <w:sz w:val="18"/>
                <w:szCs w:val="18"/>
              </w:rPr>
              <w:t>.</w:t>
            </w:r>
          </w:p>
          <w:p w:rsidR="00E11796" w:rsidRDefault="00E11796" w:rsidP="00E11796">
            <w:pPr>
              <w:numPr>
                <w:ilvl w:val="1"/>
                <w:numId w:val="45"/>
              </w:numPr>
              <w:spacing w:after="0" w:line="240" w:lineRule="auto"/>
              <w:jc w:val="both"/>
              <w:rPr>
                <w:rFonts w:ascii="Palatino Linotype" w:hAnsi="Palatino Linotype"/>
                <w:sz w:val="18"/>
                <w:szCs w:val="18"/>
              </w:rPr>
            </w:pPr>
            <w:r>
              <w:rPr>
                <w:rFonts w:ascii="Palatino Linotype" w:hAnsi="Palatino Linotype"/>
                <w:sz w:val="18"/>
                <w:szCs w:val="18"/>
              </w:rPr>
              <w:t>Legjislacioni civil dhe penal.</w:t>
            </w:r>
          </w:p>
          <w:p w:rsidR="00E11796" w:rsidRDefault="00E11796" w:rsidP="00E11796">
            <w:pPr>
              <w:numPr>
                <w:ilvl w:val="1"/>
                <w:numId w:val="45"/>
              </w:numPr>
              <w:spacing w:after="0" w:line="240" w:lineRule="auto"/>
              <w:jc w:val="both"/>
              <w:rPr>
                <w:rFonts w:ascii="Palatino Linotype" w:hAnsi="Palatino Linotype"/>
                <w:sz w:val="18"/>
                <w:szCs w:val="18"/>
              </w:rPr>
            </w:pPr>
            <w:r>
              <w:rPr>
                <w:rFonts w:ascii="Palatino Linotype" w:hAnsi="Palatino Linotype"/>
                <w:sz w:val="18"/>
                <w:szCs w:val="18"/>
              </w:rPr>
              <w:t>Konventat ndërkombëtare.</w:t>
            </w:r>
          </w:p>
          <w:p w:rsidR="00E11796" w:rsidRPr="00A600FE" w:rsidRDefault="00E11796" w:rsidP="00E11796">
            <w:pPr>
              <w:numPr>
                <w:ilvl w:val="1"/>
                <w:numId w:val="45"/>
              </w:numPr>
              <w:spacing w:after="0" w:line="240" w:lineRule="auto"/>
              <w:jc w:val="both"/>
              <w:rPr>
                <w:rFonts w:ascii="Palatino Linotype" w:hAnsi="Palatino Linotype"/>
                <w:sz w:val="18"/>
                <w:szCs w:val="18"/>
              </w:rPr>
            </w:pPr>
            <w:r w:rsidRPr="00A600FE">
              <w:rPr>
                <w:rFonts w:ascii="Palatino Linotype" w:hAnsi="Palatino Linotype"/>
                <w:sz w:val="18"/>
                <w:szCs w:val="18"/>
              </w:rPr>
              <w:t>Problematika</w:t>
            </w:r>
            <w:r>
              <w:rPr>
                <w:rFonts w:ascii="Palatino Linotype" w:hAnsi="Palatino Linotype"/>
                <w:sz w:val="18"/>
                <w:szCs w:val="18"/>
              </w:rPr>
              <w:t xml:space="preserve"> gjyqësore.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r w:rsidRPr="00A600FE">
              <w:rPr>
                <w:rFonts w:ascii="Palatino Linotype" w:hAnsi="Palatino Linotype"/>
                <w:b/>
              </w:rPr>
              <w:t>Nr</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r w:rsidRPr="00A600FE">
              <w:rPr>
                <w:rFonts w:ascii="Palatino Linotype" w:hAnsi="Palatino Linotype"/>
                <w:b/>
              </w:rPr>
              <w:t>(KODI C) E DREJTA FAMILJARE DHE E TË MITURVE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92"/>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C 01</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Probleme të praktikës gjyqësore lidhur me institutin e kujdestarisë.</w:t>
            </w:r>
          </w:p>
          <w:p w:rsidR="00E11796" w:rsidRDefault="00E11796" w:rsidP="00E11796">
            <w:pPr>
              <w:numPr>
                <w:ilvl w:val="1"/>
                <w:numId w:val="92"/>
              </w:numPr>
              <w:spacing w:after="0" w:line="240" w:lineRule="auto"/>
              <w:jc w:val="both"/>
              <w:rPr>
                <w:rFonts w:ascii="Palatino Linotype" w:hAnsi="Palatino Linotype"/>
                <w:sz w:val="18"/>
                <w:szCs w:val="18"/>
              </w:rPr>
            </w:pPr>
            <w:r w:rsidRPr="00A600FE">
              <w:rPr>
                <w:rFonts w:ascii="Palatino Linotype" w:hAnsi="Palatino Linotype"/>
                <w:sz w:val="18"/>
                <w:szCs w:val="18"/>
              </w:rPr>
              <w:t xml:space="preserve">Kujdestaria mbi të miturit </w:t>
            </w:r>
            <w:r>
              <w:rPr>
                <w:rFonts w:ascii="Palatino Linotype" w:hAnsi="Palatino Linotype"/>
                <w:sz w:val="18"/>
                <w:szCs w:val="18"/>
              </w:rPr>
              <w:t>dhe personat me zotësi të kufizuar.</w:t>
            </w:r>
          </w:p>
          <w:p w:rsidR="00E11796" w:rsidRDefault="00E11796" w:rsidP="00E11796">
            <w:pPr>
              <w:numPr>
                <w:ilvl w:val="1"/>
                <w:numId w:val="92"/>
              </w:numPr>
              <w:spacing w:after="0" w:line="240" w:lineRule="auto"/>
              <w:jc w:val="both"/>
              <w:rPr>
                <w:rFonts w:ascii="Palatino Linotype" w:hAnsi="Palatino Linotype"/>
                <w:sz w:val="18"/>
                <w:szCs w:val="18"/>
              </w:rPr>
            </w:pPr>
            <w:r>
              <w:rPr>
                <w:rFonts w:ascii="Palatino Linotype" w:hAnsi="Palatino Linotype"/>
                <w:sz w:val="18"/>
                <w:szCs w:val="18"/>
              </w:rPr>
              <w:t>N</w:t>
            </w:r>
            <w:r w:rsidRPr="00A600FE">
              <w:rPr>
                <w:rFonts w:ascii="Palatino Linotype" w:hAnsi="Palatino Linotype"/>
                <w:sz w:val="18"/>
                <w:szCs w:val="18"/>
              </w:rPr>
              <w:t>djekja gjyqësore e ushtrimit të kujdestarisë.</w:t>
            </w:r>
          </w:p>
          <w:p w:rsidR="00E11796" w:rsidRPr="00E22F59" w:rsidRDefault="00E11796" w:rsidP="00E11796">
            <w:pPr>
              <w:numPr>
                <w:ilvl w:val="1"/>
                <w:numId w:val="92"/>
              </w:numPr>
              <w:spacing w:after="0" w:line="240" w:lineRule="auto"/>
              <w:jc w:val="both"/>
              <w:rPr>
                <w:rFonts w:ascii="Palatino Linotype" w:hAnsi="Palatino Linotype"/>
                <w:sz w:val="18"/>
                <w:szCs w:val="18"/>
              </w:rPr>
            </w:pPr>
            <w:r>
              <w:rPr>
                <w:rFonts w:ascii="Palatino Linotype" w:hAnsi="Palatino Linotype"/>
                <w:sz w:val="18"/>
                <w:szCs w:val="18"/>
              </w:rPr>
              <w:t xml:space="preserve">Prindi që ushtron kujdestarinë dhe marrëdhëniet e fëmijës me prindin tjetër si mbajtës e ushtrues i përgjegjësisë prindërore. </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92"/>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C 02</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Parimi i interesit më të lartë të fëmijës dhe zbatimi i tij në praktikën gjyqësore</w:t>
            </w:r>
          </w:p>
          <w:p w:rsidR="00E11796" w:rsidRPr="00D46295" w:rsidRDefault="00E11796" w:rsidP="00E11796">
            <w:pPr>
              <w:numPr>
                <w:ilvl w:val="0"/>
                <w:numId w:val="90"/>
              </w:numPr>
              <w:spacing w:after="0" w:line="240" w:lineRule="auto"/>
              <w:jc w:val="both"/>
              <w:rPr>
                <w:rFonts w:ascii="Palatino Linotype" w:hAnsi="Palatino Linotype"/>
                <w:sz w:val="18"/>
                <w:szCs w:val="18"/>
              </w:rPr>
            </w:pPr>
            <w:r w:rsidRPr="00D46295">
              <w:rPr>
                <w:rFonts w:ascii="Palatino Linotype" w:hAnsi="Palatino Linotype"/>
                <w:sz w:val="18"/>
                <w:szCs w:val="18"/>
              </w:rPr>
              <w:t>Standardet ndërkombëtare dhe konvencionale.</w:t>
            </w:r>
          </w:p>
          <w:p w:rsidR="00E11796" w:rsidRPr="00D46295" w:rsidRDefault="00E11796" w:rsidP="00E11796">
            <w:pPr>
              <w:numPr>
                <w:ilvl w:val="0"/>
                <w:numId w:val="90"/>
              </w:numPr>
              <w:spacing w:after="0" w:line="240" w:lineRule="auto"/>
              <w:jc w:val="both"/>
              <w:rPr>
                <w:rFonts w:ascii="Palatino Linotype" w:hAnsi="Palatino Linotype"/>
                <w:sz w:val="18"/>
                <w:szCs w:val="18"/>
              </w:rPr>
            </w:pPr>
            <w:r w:rsidRPr="00D46295">
              <w:rPr>
                <w:rFonts w:ascii="Palatino Linotype" w:hAnsi="Palatino Linotype"/>
                <w:sz w:val="18"/>
                <w:szCs w:val="18"/>
              </w:rPr>
              <w:t>Roli i prindërve në përcaktimin e interesit më të lartë të fëmijës</w:t>
            </w:r>
            <w:r>
              <w:rPr>
                <w:rFonts w:ascii="Palatino Linotype" w:hAnsi="Palatino Linotype"/>
                <w:sz w:val="18"/>
                <w:szCs w:val="18"/>
              </w:rPr>
              <w:t>.</w:t>
            </w:r>
          </w:p>
          <w:p w:rsidR="00E11796" w:rsidRPr="00D46295" w:rsidRDefault="00E11796" w:rsidP="00E11796">
            <w:pPr>
              <w:numPr>
                <w:ilvl w:val="0"/>
                <w:numId w:val="90"/>
              </w:numPr>
              <w:spacing w:after="0" w:line="240" w:lineRule="auto"/>
              <w:jc w:val="both"/>
              <w:rPr>
                <w:rFonts w:ascii="Palatino Linotype" w:hAnsi="Palatino Linotype"/>
                <w:sz w:val="18"/>
                <w:szCs w:val="18"/>
              </w:rPr>
            </w:pPr>
            <w:r w:rsidRPr="00D46295">
              <w:rPr>
                <w:rFonts w:ascii="Palatino Linotype" w:hAnsi="Palatino Linotype"/>
                <w:sz w:val="18"/>
                <w:szCs w:val="18"/>
              </w:rPr>
              <w:t>Roli i vlersimit psikologjik.</w:t>
            </w:r>
          </w:p>
          <w:p w:rsidR="00E11796" w:rsidRPr="00D46295" w:rsidRDefault="00E11796" w:rsidP="00E11796">
            <w:pPr>
              <w:numPr>
                <w:ilvl w:val="0"/>
                <w:numId w:val="90"/>
              </w:numPr>
              <w:spacing w:after="0" w:line="240" w:lineRule="auto"/>
              <w:jc w:val="both"/>
              <w:rPr>
                <w:rFonts w:ascii="Palatino Linotype" w:hAnsi="Palatino Linotype"/>
                <w:sz w:val="18"/>
                <w:szCs w:val="18"/>
              </w:rPr>
            </w:pPr>
            <w:r w:rsidRPr="00D46295">
              <w:rPr>
                <w:rFonts w:ascii="Palatino Linotype" w:hAnsi="Palatino Linotype"/>
                <w:sz w:val="18"/>
                <w:szCs w:val="18"/>
              </w:rPr>
              <w:t>Përcaktimi i interesit më të lartë të fëmijës në rastet e zgjidhjes së martesës</w:t>
            </w:r>
            <w:r>
              <w:rPr>
                <w:rFonts w:ascii="Palatino Linotype" w:hAnsi="Palatino Linotype"/>
                <w:sz w:val="18"/>
                <w:szCs w:val="18"/>
              </w:rPr>
              <w:t>.</w:t>
            </w:r>
          </w:p>
          <w:p w:rsidR="00E11796" w:rsidRPr="00D46295" w:rsidRDefault="00E11796" w:rsidP="00E11796">
            <w:pPr>
              <w:numPr>
                <w:ilvl w:val="0"/>
                <w:numId w:val="90"/>
              </w:numPr>
              <w:spacing w:after="0" w:line="240" w:lineRule="auto"/>
              <w:jc w:val="both"/>
              <w:rPr>
                <w:rFonts w:ascii="Palatino Linotype" w:hAnsi="Palatino Linotype"/>
                <w:sz w:val="18"/>
                <w:szCs w:val="18"/>
              </w:rPr>
            </w:pPr>
            <w:r w:rsidRPr="00D46295">
              <w:rPr>
                <w:rFonts w:ascii="Palatino Linotype" w:hAnsi="Palatino Linotype"/>
                <w:sz w:val="18"/>
                <w:szCs w:val="18"/>
              </w:rPr>
              <w:lastRenderedPageBreak/>
              <w:t>Të drejtat pronësore dhe përgjegjësitë prindërore në funksion të interest të fëmijës</w:t>
            </w:r>
            <w:r>
              <w:rPr>
                <w:rFonts w:ascii="Palatino Linotype" w:hAnsi="Palatino Linotype"/>
                <w:sz w:val="18"/>
                <w:szCs w:val="18"/>
              </w:rPr>
              <w:t>.</w:t>
            </w:r>
          </w:p>
          <w:p w:rsidR="00E11796" w:rsidRPr="00D46295" w:rsidRDefault="00E11796" w:rsidP="00E11796">
            <w:pPr>
              <w:numPr>
                <w:ilvl w:val="0"/>
                <w:numId w:val="90"/>
              </w:numPr>
              <w:spacing w:after="0" w:line="240" w:lineRule="auto"/>
              <w:jc w:val="both"/>
              <w:rPr>
                <w:rFonts w:ascii="Palatino Linotype" w:hAnsi="Palatino Linotype"/>
                <w:sz w:val="18"/>
                <w:szCs w:val="18"/>
              </w:rPr>
            </w:pPr>
            <w:r w:rsidRPr="00D46295">
              <w:rPr>
                <w:rFonts w:ascii="Palatino Linotype" w:hAnsi="Palatino Linotype" w:cs="Arial"/>
                <w:bCs/>
                <w:color w:val="000000"/>
                <w:sz w:val="18"/>
                <w:szCs w:val="18"/>
              </w:rPr>
              <w:t>Ushtrimi i Përgjegjësisë Prindërore dhe roli i gjykatës në orientimet e ushtrimit të kësaj përgjegjësie</w:t>
            </w:r>
            <w:r w:rsidRPr="00D46295">
              <w:rPr>
                <w:rFonts w:ascii="Palatino Linotype" w:hAnsi="Palatino Linotype" w:cs="Arial"/>
                <w:color w:val="000000"/>
                <w:sz w:val="18"/>
                <w:szCs w:val="18"/>
              </w:rPr>
              <w:t>.</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92"/>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C 03</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Regjimet pasurore martesore dhe problemet e praktikës gjyqësore</w:t>
            </w:r>
            <w:r>
              <w:rPr>
                <w:rFonts w:ascii="Palatino Linotype" w:hAnsi="Palatino Linotype"/>
                <w:sz w:val="18"/>
                <w:szCs w:val="18"/>
              </w:rPr>
              <w:t>.</w:t>
            </w:r>
          </w:p>
          <w:p w:rsidR="00E11796" w:rsidRPr="00D46295" w:rsidRDefault="00E11796" w:rsidP="00E11796">
            <w:pPr>
              <w:numPr>
                <w:ilvl w:val="1"/>
                <w:numId w:val="92"/>
              </w:numPr>
              <w:spacing w:after="0" w:line="240" w:lineRule="auto"/>
              <w:jc w:val="both"/>
              <w:rPr>
                <w:rFonts w:ascii="Palatino Linotype" w:hAnsi="Palatino Linotype"/>
                <w:sz w:val="18"/>
                <w:szCs w:val="18"/>
              </w:rPr>
            </w:pPr>
            <w:r w:rsidRPr="00D46295">
              <w:rPr>
                <w:rFonts w:ascii="Palatino Linotype" w:hAnsi="Palatino Linotype"/>
                <w:sz w:val="18"/>
                <w:szCs w:val="18"/>
              </w:rPr>
              <w:t>Pjestimi i pasurisë bashkëshortore dhe problematikat që dalin në praktikën gjyqësore.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92"/>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C 04</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E drejta për jetë familjare sipas nenit 8 dhe 12 të KEDNJ</w:t>
            </w:r>
            <w:r>
              <w:rPr>
                <w:rFonts w:ascii="Palatino Linotype" w:hAnsi="Palatino Linotype"/>
                <w:sz w:val="18"/>
                <w:szCs w:val="18"/>
              </w:rPr>
              <w:t>.</w:t>
            </w:r>
          </w:p>
          <w:p w:rsidR="00E11796" w:rsidRPr="00D46295" w:rsidRDefault="00E11796" w:rsidP="00E11796">
            <w:pPr>
              <w:numPr>
                <w:ilvl w:val="1"/>
                <w:numId w:val="92"/>
              </w:numPr>
              <w:spacing w:after="0" w:line="240" w:lineRule="auto"/>
              <w:jc w:val="both"/>
              <w:rPr>
                <w:rFonts w:ascii="Palatino Linotype" w:hAnsi="Palatino Linotype"/>
                <w:sz w:val="18"/>
                <w:szCs w:val="18"/>
              </w:rPr>
            </w:pPr>
            <w:r w:rsidRPr="00D46295">
              <w:rPr>
                <w:rFonts w:ascii="Palatino Linotype" w:hAnsi="Palatino Linotype"/>
                <w:sz w:val="18"/>
                <w:szCs w:val="18"/>
              </w:rPr>
              <w:t>Kuptimi i “jetë private” kundrejt “jetë familjare”</w:t>
            </w:r>
            <w:r>
              <w:rPr>
                <w:rFonts w:ascii="Palatino Linotype" w:hAnsi="Palatino Linotype"/>
                <w:sz w:val="18"/>
                <w:szCs w:val="18"/>
              </w:rPr>
              <w:t>.</w:t>
            </w:r>
          </w:p>
          <w:p w:rsidR="00E11796" w:rsidRPr="00D46295" w:rsidRDefault="00E11796" w:rsidP="00E11796">
            <w:pPr>
              <w:numPr>
                <w:ilvl w:val="1"/>
                <w:numId w:val="92"/>
              </w:numPr>
              <w:spacing w:after="0" w:line="240" w:lineRule="auto"/>
              <w:jc w:val="both"/>
              <w:rPr>
                <w:rFonts w:ascii="Palatino Linotype" w:hAnsi="Palatino Linotype"/>
                <w:sz w:val="18"/>
                <w:szCs w:val="18"/>
              </w:rPr>
            </w:pPr>
            <w:r w:rsidRPr="00D46295">
              <w:rPr>
                <w:rFonts w:ascii="Palatino Linotype" w:hAnsi="Palatino Linotype"/>
                <w:sz w:val="18"/>
                <w:szCs w:val="18"/>
              </w:rPr>
              <w:t>Praktika gjyqësore e GJEDNJ</w:t>
            </w:r>
            <w:r>
              <w:rPr>
                <w:rFonts w:ascii="Palatino Linotype" w:hAnsi="Palatino Linotype"/>
                <w:sz w:val="18"/>
                <w:szCs w:val="18"/>
              </w:rPr>
              <w:t>.</w:t>
            </w:r>
          </w:p>
          <w:p w:rsidR="00E11796" w:rsidRPr="00D46295" w:rsidRDefault="00E11796" w:rsidP="00E11796">
            <w:pPr>
              <w:numPr>
                <w:ilvl w:val="1"/>
                <w:numId w:val="92"/>
              </w:numPr>
              <w:spacing w:after="0" w:line="240" w:lineRule="auto"/>
              <w:jc w:val="both"/>
              <w:rPr>
                <w:rFonts w:ascii="Palatino Linotype" w:hAnsi="Palatino Linotype"/>
                <w:sz w:val="18"/>
                <w:szCs w:val="18"/>
              </w:rPr>
            </w:pPr>
            <w:r w:rsidRPr="00D46295">
              <w:rPr>
                <w:rFonts w:ascii="Palatino Linotype" w:hAnsi="Palatino Linotype"/>
                <w:sz w:val="18"/>
                <w:szCs w:val="18"/>
              </w:rPr>
              <w:t>Probleme të praktikës gjyqësore shqiptare.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92"/>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C 05</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Birësimi i fëmijëve dhe problemet e praktikës gjyqësore në proceset e birësimit.</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92"/>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C 06</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cs="Arial"/>
                <w:bCs/>
                <w:color w:val="000000"/>
                <w:sz w:val="18"/>
                <w:szCs w:val="18"/>
              </w:rPr>
              <w:t>Instituti i amësisë dhe atësisë në këndvështrimin e  praktikës tonë gjyqsore shqiptare dhe  të GJEDNJ-së.</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r w:rsidRPr="00A600FE">
              <w:rPr>
                <w:rFonts w:ascii="Palatino Linotype" w:hAnsi="Palatino Linotype"/>
                <w:b/>
              </w:rPr>
              <w:t>Nr</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center"/>
              <w:rPr>
                <w:rFonts w:ascii="Palatino Linotype" w:hAnsi="Palatino Linotype"/>
                <w:b/>
              </w:rPr>
            </w:pPr>
            <w:r w:rsidRPr="00D46295">
              <w:rPr>
                <w:rFonts w:ascii="Palatino Linotype" w:hAnsi="Palatino Linotype"/>
                <w:b/>
              </w:rPr>
              <w:t>(KODI D) E DREJTA ADMINISTRATIVE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6"/>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D 01</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Problematika e çështjeve që kanë lidhje me legjislacionin për sigurimet shoqërore.</w:t>
            </w:r>
          </w:p>
          <w:p w:rsidR="00E11796" w:rsidRPr="00D46295" w:rsidRDefault="00E11796" w:rsidP="00E11796">
            <w:pPr>
              <w:numPr>
                <w:ilvl w:val="0"/>
                <w:numId w:val="94"/>
              </w:numPr>
              <w:spacing w:after="0" w:line="240" w:lineRule="auto"/>
              <w:jc w:val="both"/>
              <w:rPr>
                <w:rFonts w:ascii="Palatino Linotype" w:hAnsi="Palatino Linotype"/>
                <w:b/>
                <w:sz w:val="18"/>
                <w:szCs w:val="18"/>
              </w:rPr>
            </w:pPr>
            <w:r w:rsidRPr="00D46295">
              <w:rPr>
                <w:rFonts w:ascii="Palatino Linotype" w:hAnsi="Palatino Linotype"/>
                <w:sz w:val="18"/>
                <w:szCs w:val="18"/>
              </w:rPr>
              <w:t>Anullimi i akteve administrative të Drejtorisë së Sigurimeve Shoqërore.</w:t>
            </w:r>
          </w:p>
          <w:p w:rsidR="00E11796" w:rsidRPr="00D46295" w:rsidRDefault="00E11796" w:rsidP="00E11796">
            <w:pPr>
              <w:numPr>
                <w:ilvl w:val="0"/>
                <w:numId w:val="94"/>
              </w:numPr>
              <w:spacing w:after="0" w:line="240" w:lineRule="auto"/>
              <w:jc w:val="both"/>
              <w:rPr>
                <w:rFonts w:ascii="Palatino Linotype" w:hAnsi="Palatino Linotype"/>
                <w:b/>
                <w:sz w:val="18"/>
                <w:szCs w:val="18"/>
              </w:rPr>
            </w:pPr>
            <w:r w:rsidRPr="00D46295">
              <w:rPr>
                <w:rFonts w:ascii="Palatino Linotype" w:hAnsi="Palatino Linotype"/>
                <w:sz w:val="18"/>
                <w:szCs w:val="18"/>
              </w:rPr>
              <w:t>Çështjet për caktim pensioni dhe mbyllje pensioni (për ushtarakët dhe kategori të tjera).</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6"/>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D 02</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Problematika që përcillet në gjyqësorin shqiptar në lidhje me legjislacionin në fushën e prokurimit publik.</w:t>
            </w:r>
          </w:p>
          <w:p w:rsidR="00E11796" w:rsidRPr="00D46295" w:rsidRDefault="00E11796" w:rsidP="00E11796">
            <w:pPr>
              <w:numPr>
                <w:ilvl w:val="0"/>
                <w:numId w:val="95"/>
              </w:numPr>
              <w:spacing w:after="0" w:line="240" w:lineRule="auto"/>
              <w:jc w:val="both"/>
              <w:rPr>
                <w:rFonts w:ascii="Palatino Linotype" w:hAnsi="Palatino Linotype"/>
                <w:sz w:val="18"/>
                <w:szCs w:val="18"/>
              </w:rPr>
            </w:pPr>
            <w:r w:rsidRPr="00D46295">
              <w:rPr>
                <w:rFonts w:ascii="Palatino Linotype" w:hAnsi="Palatino Linotype"/>
                <w:sz w:val="18"/>
                <w:szCs w:val="18"/>
              </w:rPr>
              <w:t xml:space="preserve">Parimet në procesin e prokurimit publik. </w:t>
            </w:r>
          </w:p>
          <w:p w:rsidR="00E11796" w:rsidRPr="00D46295" w:rsidRDefault="00E11796" w:rsidP="00E11796">
            <w:pPr>
              <w:numPr>
                <w:ilvl w:val="0"/>
                <w:numId w:val="95"/>
              </w:numPr>
              <w:spacing w:after="0" w:line="240" w:lineRule="auto"/>
              <w:jc w:val="both"/>
              <w:rPr>
                <w:rFonts w:ascii="Palatino Linotype" w:hAnsi="Palatino Linotype"/>
                <w:sz w:val="18"/>
                <w:szCs w:val="18"/>
              </w:rPr>
            </w:pPr>
            <w:r w:rsidRPr="00D46295">
              <w:rPr>
                <w:rFonts w:ascii="Palatino Linotype" w:hAnsi="Palatino Linotype"/>
                <w:sz w:val="18"/>
                <w:szCs w:val="18"/>
              </w:rPr>
              <w:t>Cikli i procesit të prokurorimit publik.</w:t>
            </w:r>
          </w:p>
          <w:p w:rsidR="00E11796" w:rsidRPr="00D46295" w:rsidRDefault="00E11796" w:rsidP="00E11796">
            <w:pPr>
              <w:numPr>
                <w:ilvl w:val="0"/>
                <w:numId w:val="95"/>
              </w:numPr>
              <w:spacing w:after="0" w:line="240" w:lineRule="auto"/>
              <w:jc w:val="both"/>
              <w:rPr>
                <w:rFonts w:ascii="Palatino Linotype" w:hAnsi="Palatino Linotype"/>
                <w:sz w:val="18"/>
                <w:szCs w:val="18"/>
              </w:rPr>
            </w:pPr>
            <w:r w:rsidRPr="00D46295">
              <w:rPr>
                <w:rFonts w:ascii="Palatino Linotype" w:hAnsi="Palatino Linotype"/>
                <w:sz w:val="18"/>
                <w:szCs w:val="18"/>
              </w:rPr>
              <w:t>Kriteret e kualifikimit dhe përcaktimit të ofertës fituese.</w:t>
            </w:r>
          </w:p>
          <w:p w:rsidR="00E11796" w:rsidRPr="00D46295" w:rsidRDefault="00E11796" w:rsidP="00E11796">
            <w:pPr>
              <w:numPr>
                <w:ilvl w:val="0"/>
                <w:numId w:val="95"/>
              </w:numPr>
              <w:spacing w:after="0" w:line="240" w:lineRule="auto"/>
              <w:jc w:val="both"/>
              <w:rPr>
                <w:rFonts w:ascii="Palatino Linotype" w:hAnsi="Palatino Linotype"/>
                <w:sz w:val="18"/>
                <w:szCs w:val="18"/>
              </w:rPr>
            </w:pPr>
            <w:r w:rsidRPr="00D46295">
              <w:rPr>
                <w:rFonts w:ascii="Palatino Linotype" w:hAnsi="Palatino Linotype"/>
                <w:sz w:val="18"/>
                <w:szCs w:val="18"/>
              </w:rPr>
              <w:t>Kriteret e përjashtimit të kan</w:t>
            </w:r>
            <w:r>
              <w:rPr>
                <w:rFonts w:ascii="Palatino Linotype" w:hAnsi="Palatino Linotype"/>
                <w:sz w:val="18"/>
                <w:szCs w:val="18"/>
              </w:rPr>
              <w:t>didatëve ose fituesve.</w:t>
            </w:r>
          </w:p>
          <w:p w:rsidR="00E11796" w:rsidRPr="00D46295" w:rsidRDefault="00E11796" w:rsidP="00E11796">
            <w:pPr>
              <w:numPr>
                <w:ilvl w:val="0"/>
                <w:numId w:val="95"/>
              </w:numPr>
              <w:spacing w:after="0" w:line="240" w:lineRule="auto"/>
              <w:jc w:val="both"/>
              <w:rPr>
                <w:rFonts w:ascii="Palatino Linotype" w:hAnsi="Palatino Linotype"/>
                <w:sz w:val="18"/>
                <w:szCs w:val="18"/>
              </w:rPr>
            </w:pPr>
            <w:r w:rsidRPr="00D46295">
              <w:rPr>
                <w:rFonts w:ascii="Palatino Linotype" w:hAnsi="Palatino Linotype"/>
                <w:sz w:val="18"/>
                <w:szCs w:val="18"/>
              </w:rPr>
              <w:t>Kompetencat e APP në përjashtimin e operatorëve ekonomikë nga e drejta për të marrë p</w:t>
            </w:r>
            <w:r>
              <w:rPr>
                <w:rFonts w:ascii="Palatino Linotype" w:hAnsi="Palatino Linotype"/>
                <w:sz w:val="18"/>
                <w:szCs w:val="18"/>
              </w:rPr>
              <w:t>jesë në procedurat e prokurimit.</w:t>
            </w:r>
          </w:p>
          <w:p w:rsidR="00E11796" w:rsidRDefault="00E11796" w:rsidP="00E11796">
            <w:pPr>
              <w:numPr>
                <w:ilvl w:val="0"/>
                <w:numId w:val="95"/>
              </w:numPr>
              <w:spacing w:after="0" w:line="240" w:lineRule="auto"/>
              <w:jc w:val="both"/>
              <w:rPr>
                <w:rFonts w:ascii="Palatino Linotype" w:hAnsi="Palatino Linotype"/>
                <w:sz w:val="18"/>
                <w:szCs w:val="18"/>
              </w:rPr>
            </w:pPr>
            <w:r w:rsidRPr="00D46295">
              <w:rPr>
                <w:rFonts w:ascii="Palatino Linotype" w:hAnsi="Palatino Linotype"/>
                <w:sz w:val="18"/>
                <w:szCs w:val="18"/>
              </w:rPr>
              <w:t>Procedura administrative e përjashtimit.</w:t>
            </w:r>
          </w:p>
          <w:p w:rsidR="00E11796" w:rsidRPr="00D46295" w:rsidRDefault="00E11796" w:rsidP="00E11796">
            <w:pPr>
              <w:numPr>
                <w:ilvl w:val="0"/>
                <w:numId w:val="95"/>
              </w:numPr>
              <w:spacing w:after="0" w:line="240" w:lineRule="auto"/>
              <w:jc w:val="both"/>
              <w:rPr>
                <w:rFonts w:ascii="Palatino Linotype" w:hAnsi="Palatino Linotype"/>
                <w:sz w:val="18"/>
                <w:szCs w:val="18"/>
              </w:rPr>
            </w:pPr>
            <w:r w:rsidRPr="00D46295">
              <w:rPr>
                <w:rFonts w:ascii="Palatino Linotype" w:hAnsi="Palatino Linotype"/>
                <w:sz w:val="18"/>
                <w:szCs w:val="18"/>
              </w:rPr>
              <w:t>Procesi i rishikimit të vendimeve të Autoriteteve Kontraktore</w:t>
            </w:r>
            <w:r>
              <w:rPr>
                <w:rFonts w:ascii="Palatino Linotype" w:hAnsi="Palatino Linotype"/>
                <w:sz w:val="18"/>
                <w:szCs w:val="18"/>
              </w:rPr>
              <w:t>.</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6"/>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D 03</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Kundravajtjet administrative.</w:t>
            </w:r>
          </w:p>
          <w:p w:rsidR="00E11796" w:rsidRPr="00D46295" w:rsidRDefault="00E11796" w:rsidP="00E11796">
            <w:pPr>
              <w:numPr>
                <w:ilvl w:val="0"/>
                <w:numId w:val="96"/>
              </w:numPr>
              <w:spacing w:after="0" w:line="240" w:lineRule="auto"/>
              <w:jc w:val="both"/>
              <w:rPr>
                <w:rFonts w:ascii="Palatino Linotype" w:hAnsi="Palatino Linotype"/>
                <w:sz w:val="18"/>
                <w:szCs w:val="18"/>
              </w:rPr>
            </w:pPr>
            <w:r w:rsidRPr="00D46295">
              <w:rPr>
                <w:rFonts w:ascii="Palatino Linotype" w:hAnsi="Palatino Linotype"/>
                <w:sz w:val="18"/>
                <w:szCs w:val="18"/>
              </w:rPr>
              <w:t>Efektet e ligjit nr. 10279, date 20.05.2010 “Për kundravajtjet administrative”, si dhe ligjet e tjera specifike që parashikojnë kundravajtjet administrative.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6"/>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D 04</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Juridiksioni administrativ dhe gjyqësor sipas të drejtës shqiptare.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r w:rsidRPr="00A600FE">
              <w:rPr>
                <w:rFonts w:ascii="Palatino Linotype" w:hAnsi="Palatino Linotype"/>
                <w:b/>
              </w:rPr>
              <w:t>Nr</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center"/>
              <w:rPr>
                <w:rFonts w:ascii="Palatino Linotype" w:hAnsi="Palatino Linotype"/>
                <w:b/>
              </w:rPr>
            </w:pPr>
            <w:r w:rsidRPr="00D46295">
              <w:rPr>
                <w:rFonts w:ascii="Palatino Linotype" w:hAnsi="Palatino Linotype"/>
                <w:b/>
              </w:rPr>
              <w:t>(KODI E) TRAJNIME SPECIFIKE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7"/>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E 01</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Aspekte specifike në lidhje me vendimet e marra mbi të sëmurët mendorë.</w:t>
            </w:r>
          </w:p>
          <w:p w:rsidR="00E11796" w:rsidRPr="00D46295" w:rsidRDefault="00E11796" w:rsidP="00E11796">
            <w:pPr>
              <w:numPr>
                <w:ilvl w:val="0"/>
                <w:numId w:val="35"/>
              </w:numPr>
              <w:spacing w:after="0" w:line="240" w:lineRule="auto"/>
              <w:jc w:val="both"/>
              <w:rPr>
                <w:rFonts w:ascii="Palatino Linotype" w:hAnsi="Palatino Linotype"/>
                <w:sz w:val="18"/>
                <w:szCs w:val="18"/>
              </w:rPr>
            </w:pPr>
            <w:r w:rsidRPr="00D46295">
              <w:rPr>
                <w:rFonts w:ascii="Palatino Linotype" w:hAnsi="Palatino Linotype"/>
                <w:sz w:val="18"/>
                <w:szCs w:val="18"/>
              </w:rPr>
              <w:t>Standartet e të Drejtave të Njeriut</w:t>
            </w:r>
            <w:r>
              <w:rPr>
                <w:rFonts w:ascii="Palatino Linotype" w:hAnsi="Palatino Linotype"/>
                <w:sz w:val="18"/>
                <w:szCs w:val="18"/>
              </w:rPr>
              <w:t>.</w:t>
            </w:r>
          </w:p>
          <w:p w:rsidR="00E11796" w:rsidRPr="00D46295" w:rsidRDefault="00E11796" w:rsidP="00E11796">
            <w:pPr>
              <w:numPr>
                <w:ilvl w:val="0"/>
                <w:numId w:val="35"/>
              </w:numPr>
              <w:spacing w:after="0" w:line="240" w:lineRule="auto"/>
              <w:jc w:val="both"/>
              <w:rPr>
                <w:rFonts w:ascii="Palatino Linotype" w:hAnsi="Palatino Linotype"/>
                <w:sz w:val="18"/>
                <w:szCs w:val="18"/>
              </w:rPr>
            </w:pPr>
            <w:r w:rsidRPr="00D46295">
              <w:rPr>
                <w:rFonts w:ascii="Palatino Linotype" w:hAnsi="Palatino Linotype"/>
                <w:sz w:val="18"/>
                <w:szCs w:val="18"/>
              </w:rPr>
              <w:t>Legjislacioni Shqiptar</w:t>
            </w:r>
            <w:r>
              <w:rPr>
                <w:rFonts w:ascii="Palatino Linotype" w:hAnsi="Palatino Linotype"/>
                <w:sz w:val="18"/>
                <w:szCs w:val="18"/>
              </w:rPr>
              <w:t>.</w:t>
            </w:r>
          </w:p>
          <w:p w:rsidR="00E11796" w:rsidRPr="00D46295" w:rsidRDefault="00E11796" w:rsidP="00E11796">
            <w:pPr>
              <w:numPr>
                <w:ilvl w:val="0"/>
                <w:numId w:val="35"/>
              </w:numPr>
              <w:spacing w:after="0" w:line="240" w:lineRule="auto"/>
              <w:jc w:val="both"/>
              <w:rPr>
                <w:rFonts w:ascii="Palatino Linotype" w:hAnsi="Palatino Linotype"/>
                <w:sz w:val="18"/>
                <w:szCs w:val="18"/>
              </w:rPr>
            </w:pPr>
            <w:r w:rsidRPr="00D46295">
              <w:rPr>
                <w:rFonts w:ascii="Palatino Linotype" w:hAnsi="Palatino Linotype"/>
                <w:sz w:val="18"/>
                <w:szCs w:val="18"/>
              </w:rPr>
              <w:t>Legjislacioni institucional</w:t>
            </w:r>
            <w:r>
              <w:rPr>
                <w:rFonts w:ascii="Palatino Linotype" w:hAnsi="Palatino Linotype"/>
                <w:sz w:val="18"/>
                <w:szCs w:val="18"/>
              </w:rPr>
              <w:t>.</w:t>
            </w:r>
          </w:p>
          <w:p w:rsidR="00E11796" w:rsidRPr="00D46295" w:rsidRDefault="00E11796" w:rsidP="00E11796">
            <w:pPr>
              <w:numPr>
                <w:ilvl w:val="0"/>
                <w:numId w:val="35"/>
              </w:numPr>
              <w:spacing w:after="0" w:line="240" w:lineRule="auto"/>
              <w:jc w:val="both"/>
              <w:rPr>
                <w:rFonts w:ascii="Palatino Linotype" w:hAnsi="Palatino Linotype"/>
                <w:sz w:val="18"/>
                <w:szCs w:val="18"/>
              </w:rPr>
            </w:pPr>
            <w:r w:rsidRPr="00D46295">
              <w:rPr>
                <w:rFonts w:ascii="Palatino Linotype" w:hAnsi="Palatino Linotype"/>
                <w:sz w:val="18"/>
                <w:szCs w:val="18"/>
              </w:rPr>
              <w:t>Psikiatria ligjore</w:t>
            </w:r>
            <w:r>
              <w:rPr>
                <w:rFonts w:ascii="Palatino Linotype" w:hAnsi="Palatino Linotype"/>
                <w:sz w:val="18"/>
                <w:szCs w:val="18"/>
              </w:rPr>
              <w:t>.</w:t>
            </w:r>
          </w:p>
          <w:p w:rsidR="00E11796" w:rsidRPr="00D46295" w:rsidRDefault="00E11796" w:rsidP="00E11796">
            <w:pPr>
              <w:numPr>
                <w:ilvl w:val="0"/>
                <w:numId w:val="35"/>
              </w:numPr>
              <w:spacing w:after="0" w:line="240" w:lineRule="auto"/>
              <w:jc w:val="both"/>
              <w:rPr>
                <w:rFonts w:ascii="Palatino Linotype" w:hAnsi="Palatino Linotype"/>
                <w:sz w:val="18"/>
                <w:szCs w:val="18"/>
              </w:rPr>
            </w:pPr>
            <w:r w:rsidRPr="00D46295">
              <w:rPr>
                <w:rFonts w:ascii="Palatino Linotype" w:hAnsi="Palatino Linotype"/>
                <w:sz w:val="18"/>
                <w:szCs w:val="18"/>
              </w:rPr>
              <w:t>Çështjet e shëndetit mendor.</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7"/>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E 02</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cs="Arial"/>
                <w:sz w:val="18"/>
                <w:szCs w:val="18"/>
                <w:lang w:eastAsia="ja-JP"/>
              </w:rPr>
            </w:pPr>
            <w:r w:rsidRPr="00D46295">
              <w:rPr>
                <w:rFonts w:ascii="Palatino Linotype" w:hAnsi="Palatino Linotype"/>
                <w:sz w:val="18"/>
                <w:szCs w:val="18"/>
              </w:rPr>
              <w:t>Reforma e sistemit gjyq</w:t>
            </w:r>
            <w:r w:rsidRPr="00D46295">
              <w:rPr>
                <w:rFonts w:ascii="Palatino Linotype" w:hAnsi="Palatino Linotype" w:cs="Arial"/>
                <w:sz w:val="18"/>
                <w:szCs w:val="18"/>
                <w:lang w:eastAsia="ja-JP"/>
              </w:rPr>
              <w:t>ësor.</w:t>
            </w:r>
          </w:p>
          <w:p w:rsidR="00E11796" w:rsidRPr="00D46295" w:rsidRDefault="00E11796" w:rsidP="00E11796">
            <w:pPr>
              <w:numPr>
                <w:ilvl w:val="0"/>
                <w:numId w:val="36"/>
              </w:numPr>
              <w:spacing w:after="0" w:line="240" w:lineRule="auto"/>
              <w:jc w:val="both"/>
              <w:rPr>
                <w:rFonts w:ascii="Palatino Linotype" w:hAnsi="Palatino Linotype" w:cs="Arial"/>
                <w:sz w:val="18"/>
                <w:szCs w:val="18"/>
                <w:lang w:eastAsia="ja-JP"/>
              </w:rPr>
            </w:pPr>
            <w:r w:rsidRPr="00D46295">
              <w:rPr>
                <w:rFonts w:ascii="Palatino Linotype" w:hAnsi="Palatino Linotype" w:cs="Arial"/>
                <w:sz w:val="18"/>
                <w:szCs w:val="18"/>
                <w:lang w:eastAsia="ja-JP"/>
              </w:rPr>
              <w:t xml:space="preserve">Problematika e procedimit disiplinor të gjyqtarëve dhe praktika gjyqësore e Kolegjeve të </w:t>
            </w:r>
            <w:r w:rsidRPr="00D46295">
              <w:rPr>
                <w:rFonts w:ascii="Palatino Linotype" w:hAnsi="Palatino Linotype" w:cs="Arial"/>
                <w:sz w:val="18"/>
                <w:szCs w:val="18"/>
                <w:lang w:eastAsia="ja-JP"/>
              </w:rPr>
              <w:lastRenderedPageBreak/>
              <w:t>Bashkuara të GJL-së në këtë drejtim.</w:t>
            </w:r>
          </w:p>
          <w:p w:rsidR="00E11796" w:rsidRPr="00D46295" w:rsidRDefault="00E11796" w:rsidP="00E11796">
            <w:pPr>
              <w:numPr>
                <w:ilvl w:val="0"/>
                <w:numId w:val="36"/>
              </w:numPr>
              <w:spacing w:after="0" w:line="240" w:lineRule="auto"/>
              <w:jc w:val="both"/>
              <w:rPr>
                <w:rFonts w:ascii="Palatino Linotype" w:hAnsi="Palatino Linotype"/>
                <w:sz w:val="18"/>
                <w:szCs w:val="18"/>
              </w:rPr>
            </w:pPr>
            <w:r w:rsidRPr="00D46295">
              <w:rPr>
                <w:rFonts w:ascii="Palatino Linotype" w:hAnsi="Palatino Linotype" w:cs="Arial"/>
                <w:sz w:val="18"/>
                <w:szCs w:val="18"/>
                <w:lang w:eastAsia="ja-JP"/>
              </w:rPr>
              <w:t>Vetëqeverisja, si dhe kompetencat e kryetarit të gjykatës dhe të kancelarit në administrim, si figura drejtuese.</w:t>
            </w:r>
          </w:p>
          <w:p w:rsidR="00E11796" w:rsidRPr="00B06340" w:rsidRDefault="00E11796" w:rsidP="00E11796">
            <w:pPr>
              <w:numPr>
                <w:ilvl w:val="0"/>
                <w:numId w:val="36"/>
              </w:numPr>
              <w:spacing w:after="0" w:line="240" w:lineRule="auto"/>
              <w:jc w:val="both"/>
              <w:rPr>
                <w:rFonts w:ascii="Palatino Linotype" w:hAnsi="Palatino Linotype" w:cs="Arial"/>
                <w:sz w:val="18"/>
                <w:szCs w:val="18"/>
                <w:lang w:eastAsia="ja-JP"/>
              </w:rPr>
            </w:pPr>
            <w:r w:rsidRPr="00D46295">
              <w:rPr>
                <w:rFonts w:ascii="Palatino Linotype" w:hAnsi="Palatino Linotype" w:cs="Arial"/>
                <w:sz w:val="18"/>
                <w:szCs w:val="18"/>
                <w:lang w:eastAsia="ja-JP"/>
              </w:rPr>
              <w:t>Zbatimi i sistemit të vlerësimit profesional të gjyqtarëve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7"/>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E 03</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Analiza ekonomike  e ligjit civil/Ligji dhe ekonomia. Shteti, e drejta e pronës private dhe ekonomia e tregut.</w:t>
            </w:r>
          </w:p>
          <w:p w:rsidR="00E11796" w:rsidRPr="00D46295" w:rsidRDefault="00E11796" w:rsidP="00E11796">
            <w:pPr>
              <w:numPr>
                <w:ilvl w:val="0"/>
                <w:numId w:val="38"/>
              </w:numPr>
              <w:spacing w:after="0" w:line="240" w:lineRule="auto"/>
              <w:jc w:val="both"/>
              <w:rPr>
                <w:rFonts w:ascii="Palatino Linotype" w:hAnsi="Palatino Linotype"/>
                <w:sz w:val="18"/>
                <w:szCs w:val="18"/>
              </w:rPr>
            </w:pPr>
            <w:r w:rsidRPr="00D46295">
              <w:rPr>
                <w:rFonts w:ascii="Palatino Linotype" w:hAnsi="Palatino Linotype"/>
                <w:sz w:val="18"/>
                <w:szCs w:val="18"/>
              </w:rPr>
              <w:t>Ligji si mjet për të nxitur efiçencën ekonomike.</w:t>
            </w:r>
          </w:p>
          <w:p w:rsidR="00E11796" w:rsidRPr="00D46295" w:rsidRDefault="00E11796" w:rsidP="00E11796">
            <w:pPr>
              <w:numPr>
                <w:ilvl w:val="0"/>
                <w:numId w:val="38"/>
              </w:numPr>
              <w:spacing w:after="0" w:line="240" w:lineRule="auto"/>
              <w:jc w:val="both"/>
              <w:rPr>
                <w:rFonts w:ascii="Palatino Linotype" w:hAnsi="Palatino Linotype"/>
                <w:sz w:val="18"/>
                <w:szCs w:val="18"/>
              </w:rPr>
            </w:pPr>
            <w:r w:rsidRPr="00D46295">
              <w:rPr>
                <w:rFonts w:ascii="Palatino Linotype" w:hAnsi="Palatino Linotype"/>
                <w:sz w:val="18"/>
                <w:szCs w:val="18"/>
              </w:rPr>
              <w:t>Prona në këndvështrimin e analizës ekonomike.</w:t>
            </w:r>
          </w:p>
          <w:p w:rsidR="00E11796" w:rsidRPr="00D46295" w:rsidRDefault="00E11796" w:rsidP="00E11796">
            <w:pPr>
              <w:numPr>
                <w:ilvl w:val="0"/>
                <w:numId w:val="38"/>
              </w:numPr>
              <w:spacing w:after="0" w:line="240" w:lineRule="auto"/>
              <w:jc w:val="both"/>
              <w:rPr>
                <w:rFonts w:ascii="Palatino Linotype" w:hAnsi="Palatino Linotype"/>
                <w:sz w:val="18"/>
                <w:szCs w:val="18"/>
              </w:rPr>
            </w:pPr>
            <w:r w:rsidRPr="00D46295">
              <w:rPr>
                <w:rFonts w:ascii="Palatino Linotype" w:hAnsi="Palatino Linotype"/>
                <w:sz w:val="18"/>
                <w:szCs w:val="18"/>
              </w:rPr>
              <w:t>Shpërblimi i dëmit/përgjegjësia për produktet etj, në këndvështrimin ekonomik.</w:t>
            </w:r>
          </w:p>
          <w:p w:rsidR="00E11796" w:rsidRPr="00D46295" w:rsidRDefault="00E11796" w:rsidP="00E11796">
            <w:pPr>
              <w:numPr>
                <w:ilvl w:val="0"/>
                <w:numId w:val="38"/>
              </w:numPr>
              <w:spacing w:after="0" w:line="240" w:lineRule="auto"/>
              <w:jc w:val="both"/>
              <w:rPr>
                <w:rFonts w:ascii="Palatino Linotype" w:hAnsi="Palatino Linotype"/>
                <w:sz w:val="18"/>
                <w:szCs w:val="18"/>
              </w:rPr>
            </w:pPr>
            <w:r w:rsidRPr="00D46295">
              <w:rPr>
                <w:rFonts w:ascii="Palatino Linotype" w:hAnsi="Palatino Linotype"/>
                <w:sz w:val="18"/>
                <w:szCs w:val="18"/>
              </w:rPr>
              <w:t>Kontratat në këndvështrimin e analizës ekonomike.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7"/>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E 04</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Analiza ekonomike e krimit.</w:t>
            </w:r>
          </w:p>
          <w:p w:rsidR="00E11796" w:rsidRPr="00D46295" w:rsidRDefault="00E11796" w:rsidP="00E11796">
            <w:pPr>
              <w:numPr>
                <w:ilvl w:val="0"/>
                <w:numId w:val="39"/>
              </w:numPr>
              <w:spacing w:after="0" w:line="240" w:lineRule="auto"/>
              <w:jc w:val="both"/>
              <w:rPr>
                <w:rFonts w:ascii="Palatino Linotype" w:hAnsi="Palatino Linotype"/>
                <w:sz w:val="18"/>
                <w:szCs w:val="18"/>
              </w:rPr>
            </w:pPr>
            <w:r w:rsidRPr="00D46295">
              <w:rPr>
                <w:rFonts w:ascii="Palatino Linotype" w:hAnsi="Palatino Linotype"/>
                <w:sz w:val="18"/>
                <w:szCs w:val="18"/>
              </w:rPr>
              <w:t>Krimi i organizuar dhe analiza ekonomike.</w:t>
            </w:r>
          </w:p>
          <w:p w:rsidR="00E11796" w:rsidRPr="00D46295" w:rsidRDefault="00E11796" w:rsidP="00E11796">
            <w:pPr>
              <w:numPr>
                <w:ilvl w:val="0"/>
                <w:numId w:val="39"/>
              </w:numPr>
              <w:spacing w:after="0" w:line="240" w:lineRule="auto"/>
              <w:jc w:val="both"/>
              <w:rPr>
                <w:rFonts w:ascii="Palatino Linotype" w:hAnsi="Palatino Linotype"/>
                <w:sz w:val="18"/>
                <w:szCs w:val="18"/>
              </w:rPr>
            </w:pPr>
            <w:r w:rsidRPr="00D46295">
              <w:rPr>
                <w:rFonts w:ascii="Palatino Linotype" w:hAnsi="Palatino Linotype"/>
                <w:sz w:val="18"/>
                <w:szCs w:val="18"/>
              </w:rPr>
              <w:t>Analiza ekonomike e korrupsionit në sistemit gjyqësor.</w:t>
            </w:r>
          </w:p>
          <w:p w:rsidR="00E11796" w:rsidRPr="00D46295" w:rsidRDefault="00E11796" w:rsidP="00E11796">
            <w:pPr>
              <w:numPr>
                <w:ilvl w:val="0"/>
                <w:numId w:val="39"/>
              </w:numPr>
              <w:spacing w:after="0" w:line="240" w:lineRule="auto"/>
              <w:jc w:val="both"/>
              <w:rPr>
                <w:rFonts w:ascii="Palatino Linotype" w:hAnsi="Palatino Linotype"/>
                <w:sz w:val="18"/>
                <w:szCs w:val="18"/>
              </w:rPr>
            </w:pPr>
            <w:r w:rsidRPr="00D46295">
              <w:rPr>
                <w:rFonts w:ascii="Palatino Linotype" w:hAnsi="Palatino Linotype"/>
                <w:sz w:val="18"/>
                <w:szCs w:val="18"/>
              </w:rPr>
              <w:t>Procesi gjyqësor dhe vendimmarrja, detyrimi për t’ju bindur ligjit dhe teoritë ekonomike të drejtësisë.</w:t>
            </w:r>
          </w:p>
          <w:p w:rsidR="00E11796" w:rsidRPr="00D46295" w:rsidRDefault="00E11796" w:rsidP="00E11796">
            <w:pPr>
              <w:numPr>
                <w:ilvl w:val="0"/>
                <w:numId w:val="39"/>
              </w:numPr>
              <w:spacing w:after="0" w:line="240" w:lineRule="auto"/>
              <w:jc w:val="both"/>
              <w:rPr>
                <w:rFonts w:ascii="Palatino Linotype" w:hAnsi="Palatino Linotype"/>
                <w:sz w:val="18"/>
                <w:szCs w:val="18"/>
              </w:rPr>
            </w:pPr>
            <w:r w:rsidRPr="00D46295">
              <w:rPr>
                <w:rFonts w:ascii="Palatino Linotype" w:hAnsi="Palatino Linotype"/>
                <w:sz w:val="18"/>
                <w:szCs w:val="18"/>
              </w:rPr>
              <w:t>Parimet e vlerës neutrale të ligjbërjes.</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7"/>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E 05</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Trajtimi i legjislacionit për dokumentin elektronik dhe nënshkrimin elektronik.</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7"/>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E 06</w:t>
            </w:r>
          </w:p>
        </w:tc>
        <w:tc>
          <w:tcPr>
            <w:tcW w:w="0" w:type="auto"/>
            <w:tcBorders>
              <w:top w:val="single" w:sz="4" w:space="0" w:color="auto"/>
              <w:left w:val="single" w:sz="4" w:space="0" w:color="auto"/>
              <w:bottom w:val="single" w:sz="4" w:space="0" w:color="auto"/>
              <w:right w:val="single" w:sz="4" w:space="0" w:color="auto"/>
            </w:tcBorders>
          </w:tcPr>
          <w:p w:rsidR="00E11796" w:rsidRPr="003E672E" w:rsidRDefault="00E11796" w:rsidP="003B46CD">
            <w:pPr>
              <w:jc w:val="both"/>
              <w:rPr>
                <w:rFonts w:ascii="Palatino Linotype" w:hAnsi="Palatino Linotype"/>
                <w:sz w:val="18"/>
                <w:szCs w:val="18"/>
              </w:rPr>
            </w:pPr>
            <w:r w:rsidRPr="003E672E">
              <w:rPr>
                <w:rFonts w:ascii="Palatino Linotype" w:hAnsi="Palatino Linotype"/>
                <w:sz w:val="18"/>
                <w:szCs w:val="18"/>
              </w:rPr>
              <w:t>Transparenca në një proces gjyqësor.</w:t>
            </w:r>
          </w:p>
          <w:p w:rsidR="00E11796" w:rsidRPr="003E672E" w:rsidRDefault="00E11796" w:rsidP="00E11796">
            <w:pPr>
              <w:numPr>
                <w:ilvl w:val="0"/>
                <w:numId w:val="97"/>
              </w:numPr>
              <w:spacing w:after="0" w:line="240" w:lineRule="auto"/>
              <w:jc w:val="both"/>
              <w:rPr>
                <w:rFonts w:ascii="Palatino Linotype" w:hAnsi="Palatino Linotype"/>
                <w:sz w:val="18"/>
                <w:szCs w:val="18"/>
              </w:rPr>
            </w:pPr>
            <w:r w:rsidRPr="003E672E">
              <w:rPr>
                <w:rFonts w:ascii="Palatino Linotype" w:hAnsi="Palatino Linotype"/>
                <w:sz w:val="18"/>
                <w:szCs w:val="18"/>
              </w:rPr>
              <w:t>Kuptimi dhe rëndësia e transparencës në proceset penale, civile dhe administrative.</w:t>
            </w:r>
          </w:p>
          <w:p w:rsidR="00E11796" w:rsidRPr="000E2080" w:rsidRDefault="00E11796" w:rsidP="00E11796">
            <w:pPr>
              <w:numPr>
                <w:ilvl w:val="0"/>
                <w:numId w:val="97"/>
              </w:numPr>
              <w:spacing w:after="0" w:line="240" w:lineRule="auto"/>
              <w:jc w:val="both"/>
              <w:rPr>
                <w:rFonts w:ascii="Palatino Linotype" w:hAnsi="Palatino Linotype"/>
                <w:sz w:val="18"/>
                <w:szCs w:val="18"/>
              </w:rPr>
            </w:pPr>
            <w:r w:rsidRPr="003E672E">
              <w:rPr>
                <w:rFonts w:ascii="Palatino Linotype" w:hAnsi="Palatino Linotype"/>
                <w:sz w:val="18"/>
                <w:szCs w:val="18"/>
              </w:rPr>
              <w:t>Njohja me standartet dhe praktikat e mira të vendeve të BE-së n</w:t>
            </w:r>
            <w:r w:rsidRPr="003E672E">
              <w:rPr>
                <w:rFonts w:ascii="Palatino Linotype" w:hAnsi="Palatino Linotype" w:cs="Arial"/>
                <w:sz w:val="18"/>
                <w:szCs w:val="18"/>
                <w:lang w:eastAsia="ja-JP"/>
              </w:rPr>
              <w:t>ë këtë fushë.</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7"/>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E 07</w:t>
            </w:r>
          </w:p>
        </w:tc>
        <w:tc>
          <w:tcPr>
            <w:tcW w:w="0" w:type="auto"/>
            <w:tcBorders>
              <w:top w:val="single" w:sz="4" w:space="0" w:color="auto"/>
              <w:left w:val="single" w:sz="4" w:space="0" w:color="auto"/>
              <w:bottom w:val="single" w:sz="4" w:space="0" w:color="auto"/>
              <w:right w:val="single" w:sz="4" w:space="0" w:color="auto"/>
            </w:tcBorders>
          </w:tcPr>
          <w:p w:rsidR="00E11796" w:rsidRPr="00885BD8" w:rsidRDefault="00E11796" w:rsidP="003B46CD">
            <w:pPr>
              <w:jc w:val="both"/>
              <w:rPr>
                <w:rFonts w:ascii="Palatino Linotype" w:hAnsi="Palatino Linotype"/>
                <w:sz w:val="18"/>
                <w:szCs w:val="18"/>
              </w:rPr>
            </w:pPr>
            <w:r w:rsidRPr="00885BD8">
              <w:rPr>
                <w:rFonts w:ascii="Palatino Linotype" w:hAnsi="Palatino Linotype"/>
                <w:sz w:val="18"/>
                <w:szCs w:val="18"/>
              </w:rPr>
              <w:t>Kuptimi dh</w:t>
            </w:r>
            <w:r>
              <w:rPr>
                <w:rFonts w:ascii="Palatino Linotype" w:hAnsi="Palatino Linotype"/>
                <w:sz w:val="18"/>
                <w:szCs w:val="18"/>
              </w:rPr>
              <w:t xml:space="preserve">e vlerat e anglishtes ligjore në kuadrin e një kërkimi shkencor bashkëkohor në ndihme të sistemit të drejtësisë. </w:t>
            </w:r>
            <w:r w:rsidRPr="00885BD8">
              <w:rPr>
                <w:rFonts w:ascii="Palatino Linotype" w:hAnsi="Palatino Linotype"/>
                <w:sz w:val="18"/>
                <w:szCs w:val="18"/>
              </w:rPr>
              <w:t>Metodat e kërkimit shkencor bashkëkohor dhe rëndësia e tyre për sistemin e drejtësisë.</w:t>
            </w:r>
          </w:p>
          <w:p w:rsidR="00E11796" w:rsidRDefault="00E11796" w:rsidP="00E11796">
            <w:pPr>
              <w:numPr>
                <w:ilvl w:val="0"/>
                <w:numId w:val="112"/>
              </w:numPr>
              <w:spacing w:after="0" w:line="240" w:lineRule="auto"/>
              <w:jc w:val="both"/>
              <w:rPr>
                <w:rFonts w:ascii="Palatino Linotype" w:hAnsi="Palatino Linotype"/>
                <w:sz w:val="18"/>
                <w:szCs w:val="18"/>
              </w:rPr>
            </w:pPr>
            <w:r>
              <w:rPr>
                <w:rFonts w:ascii="Palatino Linotype" w:hAnsi="Palatino Linotype"/>
                <w:sz w:val="18"/>
                <w:szCs w:val="18"/>
              </w:rPr>
              <w:t>Njohuri për metodat e kërkimit shkencor.</w:t>
            </w:r>
          </w:p>
          <w:p w:rsidR="00E11796" w:rsidRPr="003E672E" w:rsidRDefault="00E11796" w:rsidP="00E11796">
            <w:pPr>
              <w:numPr>
                <w:ilvl w:val="0"/>
                <w:numId w:val="112"/>
              </w:numPr>
              <w:spacing w:after="0" w:line="240" w:lineRule="auto"/>
              <w:jc w:val="both"/>
              <w:rPr>
                <w:rFonts w:ascii="Palatino Linotype" w:hAnsi="Palatino Linotype"/>
                <w:sz w:val="18"/>
                <w:szCs w:val="18"/>
              </w:rPr>
            </w:pPr>
            <w:r>
              <w:rPr>
                <w:rFonts w:ascii="Palatino Linotype" w:hAnsi="Palatino Linotype"/>
                <w:sz w:val="18"/>
                <w:szCs w:val="18"/>
              </w:rPr>
              <w:t>Kuptimi i termave të anglishtes ligjore.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9F281A" w:rsidRDefault="00E11796" w:rsidP="003B46CD">
            <w:pPr>
              <w:jc w:val="center"/>
              <w:rPr>
                <w:rFonts w:ascii="Palatino Linotype" w:hAnsi="Palatino Linotype"/>
                <w:b/>
              </w:rPr>
            </w:pPr>
          </w:p>
        </w:tc>
        <w:tc>
          <w:tcPr>
            <w:tcW w:w="0" w:type="auto"/>
            <w:tcBorders>
              <w:top w:val="single" w:sz="4" w:space="0" w:color="auto"/>
              <w:left w:val="single" w:sz="4" w:space="0" w:color="auto"/>
              <w:bottom w:val="single" w:sz="4" w:space="0" w:color="auto"/>
              <w:right w:val="single" w:sz="4" w:space="0" w:color="auto"/>
            </w:tcBorders>
          </w:tcPr>
          <w:p w:rsidR="00E11796" w:rsidRPr="009F281A" w:rsidRDefault="00E11796" w:rsidP="003B46CD">
            <w:pPr>
              <w:jc w:val="center"/>
              <w:rPr>
                <w:rFonts w:ascii="Palatino Linotype" w:hAnsi="Palatino Linotype"/>
                <w:b/>
              </w:rPr>
            </w:pPr>
            <w:r w:rsidRPr="009F281A">
              <w:rPr>
                <w:rFonts w:ascii="Palatino Linotype" w:hAnsi="Palatino Linotype"/>
                <w:b/>
              </w:rPr>
              <w:t>(KODI F) ETIK</w:t>
            </w:r>
            <w:r>
              <w:rPr>
                <w:rFonts w:ascii="Palatino Linotype" w:hAnsi="Palatino Linotype"/>
                <w:b/>
              </w:rPr>
              <w:t>E E DEONTOLOGJI</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111"/>
              </w:numPr>
              <w:spacing w:after="0" w:line="240" w:lineRule="auto"/>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F 01</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Pr>
                <w:rFonts w:ascii="Palatino Linotype" w:hAnsi="Palatino Linotype"/>
                <w:sz w:val="18"/>
                <w:szCs w:val="18"/>
              </w:rPr>
              <w:t>Aspektet etike dhe deontologjike të rolit të prokurorit.</w:t>
            </w:r>
          </w:p>
          <w:p w:rsidR="00E11796" w:rsidRDefault="00E11796" w:rsidP="00E11796">
            <w:pPr>
              <w:numPr>
                <w:ilvl w:val="0"/>
                <w:numId w:val="80"/>
              </w:numPr>
              <w:spacing w:after="0" w:line="240" w:lineRule="auto"/>
              <w:jc w:val="both"/>
              <w:rPr>
                <w:rFonts w:ascii="Palatino Linotype" w:hAnsi="Palatino Linotype"/>
                <w:sz w:val="18"/>
                <w:szCs w:val="18"/>
              </w:rPr>
            </w:pPr>
            <w:r>
              <w:rPr>
                <w:rFonts w:ascii="Palatino Linotype" w:hAnsi="Palatino Linotype"/>
                <w:sz w:val="18"/>
                <w:szCs w:val="18"/>
              </w:rPr>
              <w:t>Kuadri ligjor dhe nënligjor.</w:t>
            </w:r>
          </w:p>
          <w:p w:rsidR="00E11796" w:rsidRDefault="00E11796" w:rsidP="00E11796">
            <w:pPr>
              <w:numPr>
                <w:ilvl w:val="0"/>
                <w:numId w:val="80"/>
              </w:numPr>
              <w:spacing w:after="0" w:line="240" w:lineRule="auto"/>
              <w:jc w:val="both"/>
              <w:rPr>
                <w:rFonts w:ascii="Palatino Linotype" w:hAnsi="Palatino Linotype"/>
                <w:sz w:val="18"/>
                <w:szCs w:val="18"/>
              </w:rPr>
            </w:pPr>
            <w:r w:rsidRPr="000C66D9">
              <w:rPr>
                <w:rFonts w:ascii="Palatino Linotype" w:hAnsi="Palatino Linotype"/>
                <w:sz w:val="18"/>
                <w:szCs w:val="18"/>
              </w:rPr>
              <w:t>Rritja e cilësisë dhe efiçencës në ushtrimin e së drejtës së ankimit (apelimi e rekursi) nga prokurorët, në zbatim të udhëzimit të PP nr.01 datë 14.11.2008 “Për ushtrimin me ef</w:t>
            </w:r>
            <w:r>
              <w:rPr>
                <w:rFonts w:ascii="Palatino Linotype" w:hAnsi="Palatino Linotype"/>
                <w:sz w:val="18"/>
                <w:szCs w:val="18"/>
              </w:rPr>
              <w:t>içencë të së drej</w:t>
            </w:r>
            <w:r w:rsidRPr="000C66D9">
              <w:rPr>
                <w:rFonts w:ascii="Palatino Linotype" w:hAnsi="Palatino Linotype"/>
                <w:sz w:val="18"/>
                <w:szCs w:val="18"/>
              </w:rPr>
              <w:t>t</w:t>
            </w:r>
            <w:r>
              <w:rPr>
                <w:rFonts w:ascii="Palatino Linotype" w:hAnsi="Palatino Linotype"/>
                <w:sz w:val="18"/>
                <w:szCs w:val="18"/>
              </w:rPr>
              <w:t>ës së ankimit” dhe jurisprudenca e</w:t>
            </w:r>
            <w:r w:rsidRPr="000C66D9">
              <w:rPr>
                <w:rFonts w:ascii="Palatino Linotype" w:hAnsi="Palatino Linotype"/>
                <w:sz w:val="18"/>
                <w:szCs w:val="18"/>
              </w:rPr>
              <w:t xml:space="preserve"> GjL dhe GjK.</w:t>
            </w:r>
          </w:p>
          <w:p w:rsidR="00E11796" w:rsidRPr="009F281A" w:rsidRDefault="00E11796" w:rsidP="00E11796">
            <w:pPr>
              <w:numPr>
                <w:ilvl w:val="0"/>
                <w:numId w:val="80"/>
              </w:numPr>
              <w:spacing w:after="0" w:line="240" w:lineRule="auto"/>
              <w:jc w:val="both"/>
              <w:rPr>
                <w:rFonts w:ascii="Palatino Linotype" w:hAnsi="Palatino Linotype"/>
                <w:sz w:val="18"/>
                <w:szCs w:val="18"/>
              </w:rPr>
            </w:pPr>
            <w:r w:rsidRPr="00A600FE">
              <w:rPr>
                <w:rFonts w:ascii="Palatino Linotype" w:hAnsi="Palatino Linotype"/>
                <w:sz w:val="18"/>
                <w:szCs w:val="18"/>
              </w:rPr>
              <w:t>Problemet e evidentuara në praktikën gj</w:t>
            </w:r>
            <w:r>
              <w:rPr>
                <w:rFonts w:ascii="Palatino Linotype" w:hAnsi="Palatino Linotype"/>
                <w:sz w:val="18"/>
                <w:szCs w:val="18"/>
              </w:rPr>
              <w:t xml:space="preserve">yqësore dhe jurisprudenca e GjL. </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r w:rsidRPr="00A600FE">
              <w:rPr>
                <w:rFonts w:ascii="Palatino Linotype" w:hAnsi="Palatino Linotype"/>
                <w:b/>
              </w:rPr>
              <w:t>Nr</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p>
        </w:tc>
        <w:tc>
          <w:tcPr>
            <w:tcW w:w="0" w:type="auto"/>
            <w:tcBorders>
              <w:top w:val="single" w:sz="4" w:space="0" w:color="auto"/>
              <w:left w:val="single" w:sz="4" w:space="0" w:color="auto"/>
              <w:bottom w:val="single" w:sz="4" w:space="0" w:color="auto"/>
              <w:right w:val="single" w:sz="4" w:space="0" w:color="auto"/>
            </w:tcBorders>
          </w:tcPr>
          <w:p w:rsidR="00E11796" w:rsidRPr="003E672E" w:rsidRDefault="00E11796" w:rsidP="003B46CD">
            <w:pPr>
              <w:jc w:val="center"/>
              <w:rPr>
                <w:rFonts w:ascii="Palatino Linotype" w:hAnsi="Palatino Linotype"/>
                <w:b/>
              </w:rPr>
            </w:pPr>
            <w:r w:rsidRPr="003E672E">
              <w:rPr>
                <w:rFonts w:ascii="Palatino Linotype" w:hAnsi="Palatino Linotype"/>
                <w:b/>
              </w:rPr>
              <w:t>(KODI G) E DREJTA E PUNËS</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8"/>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G 01</w:t>
            </w:r>
          </w:p>
        </w:tc>
        <w:tc>
          <w:tcPr>
            <w:tcW w:w="0" w:type="auto"/>
            <w:tcBorders>
              <w:top w:val="single" w:sz="4" w:space="0" w:color="auto"/>
              <w:left w:val="single" w:sz="4" w:space="0" w:color="auto"/>
              <w:bottom w:val="single" w:sz="4" w:space="0" w:color="auto"/>
              <w:right w:val="single" w:sz="4" w:space="0" w:color="auto"/>
            </w:tcBorders>
          </w:tcPr>
          <w:p w:rsidR="00E11796" w:rsidRPr="003E672E" w:rsidRDefault="00E11796" w:rsidP="003B46CD">
            <w:pPr>
              <w:jc w:val="both"/>
              <w:rPr>
                <w:rFonts w:ascii="Palatino Linotype" w:hAnsi="Palatino Linotype"/>
                <w:sz w:val="18"/>
                <w:szCs w:val="18"/>
              </w:rPr>
            </w:pPr>
            <w:r w:rsidRPr="003E672E">
              <w:rPr>
                <w:rFonts w:ascii="Palatino Linotype" w:hAnsi="Palatino Linotype"/>
                <w:sz w:val="18"/>
                <w:szCs w:val="18"/>
              </w:rPr>
              <w:t>Zgjidhja e kontratës së punës.</w:t>
            </w:r>
          </w:p>
          <w:p w:rsidR="00E11796" w:rsidRPr="003E672E" w:rsidRDefault="00E11796" w:rsidP="00E11796">
            <w:pPr>
              <w:numPr>
                <w:ilvl w:val="0"/>
                <w:numId w:val="98"/>
              </w:numPr>
              <w:spacing w:after="0" w:line="240" w:lineRule="auto"/>
              <w:jc w:val="both"/>
              <w:rPr>
                <w:rFonts w:ascii="Palatino Linotype" w:hAnsi="Palatino Linotype"/>
                <w:sz w:val="18"/>
                <w:szCs w:val="18"/>
              </w:rPr>
            </w:pPr>
            <w:r w:rsidRPr="003E672E">
              <w:rPr>
                <w:rFonts w:ascii="Palatino Linotype" w:hAnsi="Palatino Linotype"/>
                <w:sz w:val="18"/>
                <w:szCs w:val="18"/>
              </w:rPr>
              <w:t>Procedura e zgjidhjes së kontratës së punës.</w:t>
            </w:r>
          </w:p>
          <w:p w:rsidR="00E11796" w:rsidRPr="003E672E" w:rsidRDefault="00E11796" w:rsidP="00E11796">
            <w:pPr>
              <w:numPr>
                <w:ilvl w:val="0"/>
                <w:numId w:val="98"/>
              </w:numPr>
              <w:spacing w:after="0" w:line="240" w:lineRule="auto"/>
              <w:jc w:val="both"/>
              <w:rPr>
                <w:rFonts w:ascii="Palatino Linotype" w:hAnsi="Palatino Linotype"/>
                <w:sz w:val="18"/>
                <w:szCs w:val="18"/>
              </w:rPr>
            </w:pPr>
            <w:r w:rsidRPr="003E672E">
              <w:rPr>
                <w:rFonts w:ascii="Palatino Linotype" w:hAnsi="Palatino Linotype"/>
                <w:sz w:val="18"/>
                <w:szCs w:val="18"/>
              </w:rPr>
              <w:t>Zgjidhja e kontratës së punës pa shkaqe të arsyeshme.</w:t>
            </w:r>
          </w:p>
          <w:p w:rsidR="00E11796" w:rsidRPr="003E672E" w:rsidRDefault="00E11796" w:rsidP="00E11796">
            <w:pPr>
              <w:numPr>
                <w:ilvl w:val="0"/>
                <w:numId w:val="98"/>
              </w:numPr>
              <w:spacing w:after="0" w:line="240" w:lineRule="auto"/>
              <w:jc w:val="both"/>
              <w:rPr>
                <w:rFonts w:ascii="Palatino Linotype" w:hAnsi="Palatino Linotype"/>
                <w:sz w:val="18"/>
                <w:szCs w:val="18"/>
              </w:rPr>
            </w:pPr>
            <w:r w:rsidRPr="003E672E">
              <w:rPr>
                <w:rFonts w:ascii="Palatino Linotype" w:hAnsi="Palatino Linotype"/>
                <w:sz w:val="18"/>
                <w:szCs w:val="18"/>
              </w:rPr>
              <w:t>Zgjidhja e menjëhershme e kontratës së punës.</w:t>
            </w:r>
          </w:p>
          <w:p w:rsidR="00E11796" w:rsidRPr="003E672E" w:rsidRDefault="00E11796" w:rsidP="00E11796">
            <w:pPr>
              <w:numPr>
                <w:ilvl w:val="0"/>
                <w:numId w:val="98"/>
              </w:numPr>
              <w:spacing w:after="0" w:line="240" w:lineRule="auto"/>
              <w:jc w:val="both"/>
              <w:rPr>
                <w:rFonts w:ascii="Palatino Linotype" w:hAnsi="Palatino Linotype"/>
                <w:sz w:val="18"/>
                <w:szCs w:val="18"/>
              </w:rPr>
            </w:pPr>
            <w:r w:rsidRPr="003E672E">
              <w:rPr>
                <w:rFonts w:ascii="Palatino Linotype" w:hAnsi="Palatino Linotype"/>
                <w:sz w:val="18"/>
                <w:szCs w:val="18"/>
              </w:rPr>
              <w:t>Praktika gjyqësore dhe jurisprudenca e GjK-së dhe GjL-së</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r w:rsidRPr="00A600FE">
              <w:rPr>
                <w:rFonts w:ascii="Palatino Linotype" w:hAnsi="Palatino Linotype"/>
                <w:b/>
              </w:rPr>
              <w:t>Nr</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p>
        </w:tc>
        <w:tc>
          <w:tcPr>
            <w:tcW w:w="0" w:type="auto"/>
            <w:tcBorders>
              <w:top w:val="single" w:sz="4" w:space="0" w:color="auto"/>
              <w:left w:val="single" w:sz="4" w:space="0" w:color="auto"/>
              <w:bottom w:val="single" w:sz="4" w:space="0" w:color="auto"/>
              <w:right w:val="single" w:sz="4" w:space="0" w:color="auto"/>
            </w:tcBorders>
          </w:tcPr>
          <w:p w:rsidR="00E11796" w:rsidRPr="003E672E" w:rsidRDefault="00E11796" w:rsidP="003B46CD">
            <w:pPr>
              <w:jc w:val="center"/>
              <w:rPr>
                <w:rFonts w:ascii="Palatino Linotype" w:hAnsi="Palatino Linotype"/>
                <w:b/>
              </w:rPr>
            </w:pPr>
            <w:r w:rsidRPr="003E672E">
              <w:rPr>
                <w:rFonts w:ascii="Palatino Linotype" w:hAnsi="Palatino Linotype"/>
                <w:b/>
              </w:rPr>
              <w:t>( KODI H) E DREJTA TREGTARE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9"/>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H 01</w:t>
            </w:r>
          </w:p>
        </w:tc>
        <w:tc>
          <w:tcPr>
            <w:tcW w:w="0" w:type="auto"/>
            <w:tcBorders>
              <w:top w:val="single" w:sz="4" w:space="0" w:color="auto"/>
              <w:left w:val="single" w:sz="4" w:space="0" w:color="auto"/>
              <w:bottom w:val="single" w:sz="4" w:space="0" w:color="auto"/>
              <w:right w:val="single" w:sz="4" w:space="0" w:color="auto"/>
            </w:tcBorders>
          </w:tcPr>
          <w:p w:rsidR="00E11796" w:rsidRPr="00B06340" w:rsidRDefault="00E11796" w:rsidP="003B46CD">
            <w:pPr>
              <w:pStyle w:val="BodyText"/>
              <w:jc w:val="both"/>
              <w:rPr>
                <w:rFonts w:ascii="Palatino Linotype" w:hAnsi="Palatino Linotype"/>
                <w:sz w:val="18"/>
                <w:szCs w:val="18"/>
              </w:rPr>
            </w:pPr>
            <w:r w:rsidRPr="00B06340">
              <w:rPr>
                <w:rFonts w:ascii="Palatino Linotype" w:hAnsi="Palatino Linotype"/>
                <w:sz w:val="18"/>
                <w:szCs w:val="18"/>
              </w:rPr>
              <w:t xml:space="preserve">Aspekte ligjore dhe praktike të ligjit “Për shoqëritë tregtare”. </w:t>
            </w:r>
          </w:p>
          <w:p w:rsidR="00E11796" w:rsidRPr="00B06340" w:rsidRDefault="00E11796" w:rsidP="00E11796">
            <w:pPr>
              <w:pStyle w:val="BodyText"/>
              <w:numPr>
                <w:ilvl w:val="0"/>
                <w:numId w:val="110"/>
              </w:numPr>
              <w:spacing w:after="0"/>
              <w:jc w:val="both"/>
              <w:rPr>
                <w:rFonts w:ascii="Palatino Linotype" w:hAnsi="Palatino Linotype"/>
                <w:sz w:val="18"/>
                <w:szCs w:val="18"/>
              </w:rPr>
            </w:pPr>
            <w:r w:rsidRPr="00B06340">
              <w:rPr>
                <w:rFonts w:ascii="Palatino Linotype" w:hAnsi="Palatino Linotype"/>
                <w:sz w:val="18"/>
                <w:szCs w:val="18"/>
              </w:rPr>
              <w:lastRenderedPageBreak/>
              <w:t>Njohje me ndryshimet ne ligjin per shoqëritë tregtare dhe zbatimi i tij në praktikë (PKZMSA)</w:t>
            </w:r>
          </w:p>
          <w:p w:rsidR="00E11796" w:rsidRPr="00B06340" w:rsidRDefault="00E11796" w:rsidP="00E11796">
            <w:pPr>
              <w:pStyle w:val="BodyText"/>
              <w:numPr>
                <w:ilvl w:val="0"/>
                <w:numId w:val="109"/>
              </w:numPr>
              <w:spacing w:after="0"/>
              <w:jc w:val="both"/>
              <w:rPr>
                <w:rFonts w:ascii="Palatino Linotype" w:hAnsi="Palatino Linotype"/>
                <w:sz w:val="18"/>
                <w:szCs w:val="18"/>
              </w:rPr>
            </w:pPr>
            <w:r w:rsidRPr="00B06340">
              <w:rPr>
                <w:rFonts w:ascii="Palatino Linotype" w:hAnsi="Palatino Linotype"/>
                <w:sz w:val="18"/>
                <w:szCs w:val="18"/>
              </w:rPr>
              <w:t>Rregullimi i pasojave të prishjes dhe likujdimit të shoqërive tregtare.</w:t>
            </w:r>
          </w:p>
          <w:p w:rsidR="00E11796" w:rsidRPr="00B06340" w:rsidRDefault="00E11796" w:rsidP="00E11796">
            <w:pPr>
              <w:numPr>
                <w:ilvl w:val="0"/>
                <w:numId w:val="98"/>
              </w:numPr>
              <w:spacing w:after="0" w:line="240" w:lineRule="auto"/>
              <w:jc w:val="both"/>
              <w:rPr>
                <w:rFonts w:ascii="Palatino Linotype" w:hAnsi="Palatino Linotype"/>
                <w:sz w:val="18"/>
                <w:szCs w:val="18"/>
              </w:rPr>
            </w:pPr>
            <w:r w:rsidRPr="00B06340">
              <w:rPr>
                <w:rFonts w:ascii="Palatino Linotype" w:hAnsi="Palatino Linotype"/>
                <w:sz w:val="18"/>
                <w:szCs w:val="18"/>
              </w:rPr>
              <w:t>Rregjimi tatimor i tregtarëve dhe i shoqërive tregtare në bazë të legjislacionit në fuqi.</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9"/>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H 02</w:t>
            </w:r>
          </w:p>
        </w:tc>
        <w:tc>
          <w:tcPr>
            <w:tcW w:w="0" w:type="auto"/>
            <w:tcBorders>
              <w:top w:val="single" w:sz="4" w:space="0" w:color="auto"/>
              <w:left w:val="single" w:sz="4" w:space="0" w:color="auto"/>
              <w:bottom w:val="single" w:sz="4" w:space="0" w:color="auto"/>
              <w:right w:val="single" w:sz="4" w:space="0" w:color="auto"/>
            </w:tcBorders>
          </w:tcPr>
          <w:p w:rsidR="00E11796" w:rsidRPr="00B06340" w:rsidRDefault="00E11796" w:rsidP="003B46CD">
            <w:pPr>
              <w:pStyle w:val="BodyText"/>
              <w:jc w:val="both"/>
              <w:rPr>
                <w:rFonts w:ascii="Palatino Linotype" w:hAnsi="Palatino Linotype"/>
                <w:sz w:val="18"/>
                <w:szCs w:val="18"/>
              </w:rPr>
            </w:pPr>
            <w:r w:rsidRPr="00B06340">
              <w:rPr>
                <w:rFonts w:ascii="Palatino Linotype" w:hAnsi="Palatino Linotype"/>
                <w:sz w:val="18"/>
                <w:szCs w:val="18"/>
              </w:rPr>
              <w:t>Aspekte ligjore dhe praktike të ligjit “Për Falimentimin”.</w:t>
            </w:r>
          </w:p>
          <w:p w:rsidR="00E11796" w:rsidRPr="00B06340" w:rsidRDefault="00E11796" w:rsidP="00E11796">
            <w:pPr>
              <w:pStyle w:val="BodyText"/>
              <w:numPr>
                <w:ilvl w:val="0"/>
                <w:numId w:val="100"/>
              </w:numPr>
              <w:spacing w:after="0"/>
              <w:jc w:val="both"/>
              <w:rPr>
                <w:rFonts w:ascii="Palatino Linotype" w:hAnsi="Palatino Linotype"/>
                <w:sz w:val="18"/>
                <w:szCs w:val="18"/>
              </w:rPr>
            </w:pPr>
            <w:r w:rsidRPr="00B06340">
              <w:rPr>
                <w:rFonts w:ascii="Palatino Linotype" w:hAnsi="Palatino Linotype"/>
                <w:sz w:val="18"/>
                <w:szCs w:val="18"/>
              </w:rPr>
              <w:t>Njohje me reformën dhe ndryshimet në ligjin për falimentimin dhe zbatimi i tij në praktikë (PKZMSA).</w:t>
            </w:r>
          </w:p>
          <w:p w:rsidR="00E11796" w:rsidRPr="00B06340" w:rsidRDefault="00E11796" w:rsidP="00E11796">
            <w:pPr>
              <w:pStyle w:val="BodyText"/>
              <w:numPr>
                <w:ilvl w:val="0"/>
                <w:numId w:val="99"/>
              </w:numPr>
              <w:spacing w:after="0"/>
              <w:jc w:val="both"/>
              <w:rPr>
                <w:rFonts w:ascii="Palatino Linotype" w:hAnsi="Palatino Linotype"/>
                <w:sz w:val="18"/>
                <w:szCs w:val="18"/>
              </w:rPr>
            </w:pPr>
            <w:r w:rsidRPr="00B06340">
              <w:rPr>
                <w:rFonts w:ascii="Palatino Linotype" w:hAnsi="Palatino Linotype"/>
                <w:sz w:val="18"/>
                <w:szCs w:val="18"/>
              </w:rPr>
              <w:t>Procedurat e çeljes së falimentit apo procedura e shpalljes së gjendjes së falintimit.</w:t>
            </w:r>
          </w:p>
          <w:p w:rsidR="00E11796" w:rsidRPr="00B06340" w:rsidRDefault="00E11796" w:rsidP="00E11796">
            <w:pPr>
              <w:pStyle w:val="BodyText"/>
              <w:numPr>
                <w:ilvl w:val="0"/>
                <w:numId w:val="99"/>
              </w:numPr>
              <w:spacing w:after="0"/>
              <w:jc w:val="both"/>
              <w:rPr>
                <w:rFonts w:ascii="Palatino Linotype" w:hAnsi="Palatino Linotype"/>
                <w:sz w:val="18"/>
                <w:szCs w:val="18"/>
              </w:rPr>
            </w:pPr>
            <w:r w:rsidRPr="00B06340">
              <w:rPr>
                <w:rFonts w:ascii="Palatino Linotype" w:hAnsi="Palatino Linotype"/>
                <w:sz w:val="18"/>
                <w:szCs w:val="18"/>
              </w:rPr>
              <w:t>Vendimmarrjet e gjykatës gjatë këtij procesi.</w:t>
            </w:r>
          </w:p>
          <w:p w:rsidR="00E11796" w:rsidRPr="00B06340" w:rsidRDefault="00E11796" w:rsidP="00E11796">
            <w:pPr>
              <w:pStyle w:val="BodyText"/>
              <w:numPr>
                <w:ilvl w:val="0"/>
                <w:numId w:val="99"/>
              </w:numPr>
              <w:spacing w:after="0"/>
              <w:jc w:val="both"/>
              <w:rPr>
                <w:rFonts w:ascii="Palatino Linotype" w:hAnsi="Palatino Linotype"/>
                <w:sz w:val="18"/>
                <w:szCs w:val="18"/>
              </w:rPr>
            </w:pPr>
            <w:r w:rsidRPr="00B06340">
              <w:rPr>
                <w:rFonts w:ascii="Palatino Linotype" w:hAnsi="Palatino Linotype"/>
                <w:sz w:val="18"/>
                <w:szCs w:val="18"/>
              </w:rPr>
              <w:t>Problematika e praktikës gjyqësore.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49"/>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H 03</w:t>
            </w:r>
          </w:p>
        </w:tc>
        <w:tc>
          <w:tcPr>
            <w:tcW w:w="0" w:type="auto"/>
            <w:tcBorders>
              <w:top w:val="single" w:sz="4" w:space="0" w:color="auto"/>
              <w:left w:val="single" w:sz="4" w:space="0" w:color="auto"/>
              <w:bottom w:val="single" w:sz="4" w:space="0" w:color="auto"/>
              <w:right w:val="single" w:sz="4" w:space="0" w:color="auto"/>
            </w:tcBorders>
          </w:tcPr>
          <w:p w:rsidR="00E11796" w:rsidRPr="00B06340" w:rsidRDefault="00E11796" w:rsidP="003B46CD">
            <w:pPr>
              <w:pStyle w:val="BodyText"/>
              <w:jc w:val="both"/>
              <w:rPr>
                <w:rFonts w:ascii="Palatino Linotype" w:hAnsi="Palatino Linotype"/>
                <w:sz w:val="18"/>
                <w:szCs w:val="18"/>
              </w:rPr>
            </w:pPr>
            <w:r w:rsidRPr="00B06340">
              <w:rPr>
                <w:rFonts w:ascii="Palatino Linotype" w:hAnsi="Palatino Linotype"/>
                <w:sz w:val="18"/>
                <w:szCs w:val="18"/>
              </w:rPr>
              <w:t>E drejta e kontabilitetit.</w:t>
            </w:r>
          </w:p>
          <w:p w:rsidR="00E11796" w:rsidRPr="00B06340" w:rsidRDefault="00E11796" w:rsidP="00E11796">
            <w:pPr>
              <w:pStyle w:val="BodyText"/>
              <w:numPr>
                <w:ilvl w:val="0"/>
                <w:numId w:val="101"/>
              </w:numPr>
              <w:spacing w:after="0"/>
              <w:jc w:val="both"/>
              <w:rPr>
                <w:rFonts w:ascii="Palatino Linotype" w:hAnsi="Palatino Linotype"/>
                <w:sz w:val="18"/>
                <w:szCs w:val="18"/>
              </w:rPr>
            </w:pPr>
            <w:r w:rsidRPr="00B06340">
              <w:rPr>
                <w:rFonts w:ascii="Palatino Linotype" w:hAnsi="Palatino Linotype"/>
                <w:sz w:val="18"/>
                <w:szCs w:val="18"/>
              </w:rPr>
              <w:t>Parimet bazë mbi të drejtën kontabël.</w:t>
            </w:r>
          </w:p>
          <w:p w:rsidR="00E11796" w:rsidRPr="00B06340" w:rsidRDefault="00E11796" w:rsidP="00E11796">
            <w:pPr>
              <w:pStyle w:val="BodyText"/>
              <w:numPr>
                <w:ilvl w:val="0"/>
                <w:numId w:val="101"/>
              </w:numPr>
              <w:spacing w:after="0"/>
              <w:jc w:val="both"/>
              <w:rPr>
                <w:rFonts w:ascii="Palatino Linotype" w:hAnsi="Palatino Linotype"/>
                <w:sz w:val="18"/>
                <w:szCs w:val="18"/>
              </w:rPr>
            </w:pPr>
            <w:r w:rsidRPr="00B06340">
              <w:rPr>
                <w:rFonts w:ascii="Palatino Linotype" w:hAnsi="Palatino Linotype"/>
                <w:sz w:val="18"/>
                <w:szCs w:val="18"/>
              </w:rPr>
              <w:t xml:space="preserve">Njohuri bazë mbi pasurinë e njësisë ekonomike dhe pasqyrimin e saj në kontabilitet. </w:t>
            </w:r>
          </w:p>
          <w:p w:rsidR="00E11796" w:rsidRPr="00B06340" w:rsidRDefault="00E11796" w:rsidP="00E11796">
            <w:pPr>
              <w:pStyle w:val="BodyText"/>
              <w:numPr>
                <w:ilvl w:val="0"/>
                <w:numId w:val="101"/>
              </w:numPr>
              <w:spacing w:after="0"/>
              <w:jc w:val="both"/>
              <w:rPr>
                <w:rFonts w:ascii="Palatino Linotype" w:hAnsi="Palatino Linotype"/>
                <w:sz w:val="18"/>
                <w:szCs w:val="18"/>
              </w:rPr>
            </w:pPr>
            <w:r w:rsidRPr="00B06340">
              <w:rPr>
                <w:rFonts w:ascii="Palatino Linotype" w:hAnsi="Palatino Linotype"/>
                <w:sz w:val="18"/>
                <w:szCs w:val="18"/>
              </w:rPr>
              <w:t>Mjetet që përdor kontabiliteti për pasqyrimin e pasurisë dhe ndryshimet e saj gjatë veprimeve të njësisë ekonomike.</w:t>
            </w:r>
          </w:p>
          <w:p w:rsidR="00E11796" w:rsidRPr="00B06340" w:rsidRDefault="00E11796" w:rsidP="00E11796">
            <w:pPr>
              <w:pStyle w:val="BodyText"/>
              <w:numPr>
                <w:ilvl w:val="0"/>
                <w:numId w:val="101"/>
              </w:numPr>
              <w:spacing w:after="0"/>
              <w:jc w:val="both"/>
              <w:rPr>
                <w:rFonts w:ascii="Palatino Linotype" w:hAnsi="Palatino Linotype"/>
                <w:sz w:val="18"/>
                <w:szCs w:val="18"/>
              </w:rPr>
            </w:pPr>
            <w:r w:rsidRPr="00B06340">
              <w:rPr>
                <w:rFonts w:ascii="Palatino Linotype" w:hAnsi="Palatino Linotype"/>
                <w:sz w:val="18"/>
                <w:szCs w:val="18"/>
              </w:rPr>
              <w:t>Cikli i proçedurave kontabël.</w:t>
            </w:r>
          </w:p>
          <w:p w:rsidR="00E11796" w:rsidRPr="00B06340" w:rsidRDefault="00E11796" w:rsidP="00E11796">
            <w:pPr>
              <w:pStyle w:val="BodyText"/>
              <w:numPr>
                <w:ilvl w:val="0"/>
                <w:numId w:val="101"/>
              </w:numPr>
              <w:spacing w:after="0"/>
              <w:jc w:val="both"/>
              <w:rPr>
                <w:rFonts w:ascii="Palatino Linotype" w:hAnsi="Palatino Linotype"/>
                <w:sz w:val="18"/>
                <w:szCs w:val="18"/>
              </w:rPr>
            </w:pPr>
            <w:r w:rsidRPr="00B06340">
              <w:rPr>
                <w:rFonts w:ascii="Palatino Linotype" w:hAnsi="Palatino Linotype"/>
                <w:sz w:val="18"/>
                <w:szCs w:val="18"/>
              </w:rPr>
              <w:t>Disa veçori të kontabilitetit në ortakëri dhe në shoqëritë aksionere.</w:t>
            </w:r>
          </w:p>
          <w:p w:rsidR="00E11796" w:rsidRPr="00B06340" w:rsidRDefault="00E11796" w:rsidP="00E11796">
            <w:pPr>
              <w:pStyle w:val="BodyText"/>
              <w:numPr>
                <w:ilvl w:val="0"/>
                <w:numId w:val="101"/>
              </w:numPr>
              <w:spacing w:after="0"/>
              <w:jc w:val="both"/>
              <w:rPr>
                <w:rFonts w:ascii="Palatino Linotype" w:hAnsi="Palatino Linotype"/>
                <w:sz w:val="18"/>
                <w:szCs w:val="18"/>
              </w:rPr>
            </w:pPr>
            <w:r w:rsidRPr="00B06340">
              <w:rPr>
                <w:rFonts w:ascii="Palatino Linotype" w:hAnsi="Palatino Linotype"/>
                <w:sz w:val="18"/>
                <w:szCs w:val="18"/>
              </w:rPr>
              <w:t>Përbërësit e pasqyrave financiare.</w:t>
            </w:r>
          </w:p>
          <w:p w:rsidR="00E11796" w:rsidRPr="00B06340" w:rsidRDefault="00E11796" w:rsidP="00E11796">
            <w:pPr>
              <w:pStyle w:val="BodyText"/>
              <w:numPr>
                <w:ilvl w:val="0"/>
                <w:numId w:val="101"/>
              </w:numPr>
              <w:spacing w:after="0"/>
              <w:jc w:val="both"/>
              <w:rPr>
                <w:rFonts w:ascii="Palatino Linotype" w:hAnsi="Palatino Linotype"/>
                <w:sz w:val="18"/>
                <w:szCs w:val="18"/>
              </w:rPr>
            </w:pPr>
            <w:r w:rsidRPr="00B06340">
              <w:rPr>
                <w:rFonts w:ascii="Palatino Linotype" w:hAnsi="Palatino Linotype"/>
                <w:sz w:val="18"/>
                <w:szCs w:val="18"/>
              </w:rPr>
              <w:t>Kuadri kombëtar dhe ndërkombëtar i auditimit.</w:t>
            </w:r>
          </w:p>
          <w:p w:rsidR="00E11796" w:rsidRPr="00B06340" w:rsidRDefault="00E11796" w:rsidP="00E11796">
            <w:pPr>
              <w:pStyle w:val="BodyText"/>
              <w:numPr>
                <w:ilvl w:val="0"/>
                <w:numId w:val="101"/>
              </w:numPr>
              <w:spacing w:after="0"/>
              <w:jc w:val="both"/>
              <w:rPr>
                <w:rFonts w:ascii="Palatino Linotype" w:hAnsi="Palatino Linotype"/>
                <w:sz w:val="18"/>
                <w:szCs w:val="18"/>
              </w:rPr>
            </w:pPr>
            <w:r w:rsidRPr="00B06340">
              <w:rPr>
                <w:rFonts w:ascii="Palatino Linotype" w:hAnsi="Palatino Linotype"/>
                <w:sz w:val="18"/>
                <w:szCs w:val="18"/>
              </w:rPr>
              <w:t>Auditimi i informacionit financiar, dokumentimi dhe raportimi i auditimit.</w:t>
            </w:r>
          </w:p>
          <w:p w:rsidR="00E11796" w:rsidRPr="00B06340" w:rsidRDefault="00E11796" w:rsidP="00E11796">
            <w:pPr>
              <w:pStyle w:val="BodyText"/>
              <w:numPr>
                <w:ilvl w:val="0"/>
                <w:numId w:val="101"/>
              </w:numPr>
              <w:spacing w:after="0"/>
              <w:jc w:val="both"/>
              <w:rPr>
                <w:rFonts w:ascii="Palatino Linotype" w:hAnsi="Palatino Linotype"/>
                <w:sz w:val="18"/>
                <w:szCs w:val="18"/>
              </w:rPr>
            </w:pPr>
            <w:r w:rsidRPr="00B06340">
              <w:rPr>
                <w:rFonts w:ascii="Palatino Linotype" w:hAnsi="Palatino Linotype"/>
                <w:sz w:val="18"/>
                <w:szCs w:val="18"/>
              </w:rPr>
              <w:t>Rishikimi dhe vlerësimi i cilësisë së shërbimit të auditimit.</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r w:rsidRPr="00A600FE">
              <w:rPr>
                <w:rFonts w:ascii="Palatino Linotype" w:hAnsi="Palatino Linotype"/>
                <w:b/>
              </w:rPr>
              <w:t>Nr</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rPr>
            </w:pP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center"/>
              <w:rPr>
                <w:rFonts w:ascii="Palatino Linotype" w:hAnsi="Palatino Linotype"/>
              </w:rPr>
            </w:pPr>
            <w:r w:rsidRPr="00D46295">
              <w:rPr>
                <w:rFonts w:ascii="Palatino Linotype" w:hAnsi="Palatino Linotype"/>
                <w:b/>
              </w:rPr>
              <w:t>(KODI I) KUSHTETUESE, EVROPIANE, DR NJERIUT</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50"/>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I 01</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Procesi i rregullt ligjor dhe gjykimi incidental.</w:t>
            </w:r>
          </w:p>
          <w:p w:rsidR="00E11796" w:rsidRDefault="00E11796" w:rsidP="00E11796">
            <w:pPr>
              <w:numPr>
                <w:ilvl w:val="0"/>
                <w:numId w:val="102"/>
              </w:numPr>
              <w:spacing w:after="0" w:line="240" w:lineRule="auto"/>
              <w:jc w:val="both"/>
              <w:rPr>
                <w:rFonts w:ascii="Palatino Linotype" w:hAnsi="Palatino Linotype"/>
                <w:sz w:val="18"/>
                <w:szCs w:val="18"/>
              </w:rPr>
            </w:pPr>
            <w:r w:rsidRPr="00D46295">
              <w:rPr>
                <w:rFonts w:ascii="Palatino Linotype" w:hAnsi="Palatino Linotype"/>
                <w:sz w:val="18"/>
                <w:szCs w:val="18"/>
              </w:rPr>
              <w:t>Evoluimi i praktikës kushtetuese në kontrollin incidental referuar nga gjykatat e zakonshme.</w:t>
            </w:r>
          </w:p>
          <w:p w:rsidR="00E11796" w:rsidRPr="00D46295" w:rsidRDefault="00E11796" w:rsidP="00E11796">
            <w:pPr>
              <w:numPr>
                <w:ilvl w:val="0"/>
                <w:numId w:val="102"/>
              </w:numPr>
              <w:spacing w:after="0" w:line="240" w:lineRule="auto"/>
              <w:jc w:val="both"/>
              <w:rPr>
                <w:rFonts w:ascii="Palatino Linotype" w:hAnsi="Palatino Linotype"/>
                <w:sz w:val="18"/>
                <w:szCs w:val="18"/>
              </w:rPr>
            </w:pPr>
            <w:r w:rsidRPr="00D46295">
              <w:rPr>
                <w:rFonts w:ascii="Palatino Linotype" w:hAnsi="Palatino Linotype"/>
                <w:sz w:val="18"/>
                <w:szCs w:val="18"/>
              </w:rPr>
              <w:t>Efektet e shqyrtimit të kërkesës dhe efektet e vendimmarrjes së GjK pranë gjykatave të zakonshme, (për proceset gjyqësore me bazë ligjore të njëjtin objekt kundërshtimi para GjK).</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50"/>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I 02</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Parimi i supremacisë, parimi i efektit te drejtpërdrejt, dhe parimi i kushtetueshmërisë funksionale sipas jurisprudencës së GjK.</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50"/>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I 03</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 xml:space="preserve">Vendimet deklarative të GjK. </w:t>
            </w:r>
          </w:p>
          <w:p w:rsidR="00E11796" w:rsidRPr="00D46295" w:rsidRDefault="00E11796" w:rsidP="00E11796">
            <w:pPr>
              <w:numPr>
                <w:ilvl w:val="0"/>
                <w:numId w:val="103"/>
              </w:numPr>
              <w:spacing w:after="0" w:line="240" w:lineRule="auto"/>
              <w:jc w:val="both"/>
              <w:rPr>
                <w:rFonts w:ascii="Palatino Linotype" w:hAnsi="Palatino Linotype"/>
                <w:sz w:val="18"/>
                <w:szCs w:val="18"/>
              </w:rPr>
            </w:pPr>
            <w:r w:rsidRPr="00D46295">
              <w:rPr>
                <w:rFonts w:ascii="Palatino Linotype" w:hAnsi="Palatino Linotype"/>
                <w:sz w:val="18"/>
                <w:szCs w:val="18"/>
              </w:rPr>
              <w:t>Lidhur me konstatimin e shkeljes së procesit të rregullt ligjor për shkak të tejzgjatjes së procesit gjyqësor</w:t>
            </w:r>
            <w:r>
              <w:rPr>
                <w:rFonts w:ascii="Palatino Linotype" w:hAnsi="Palatino Linotype"/>
                <w:sz w:val="18"/>
                <w:szCs w:val="18"/>
              </w:rPr>
              <w:t>.</w:t>
            </w:r>
          </w:p>
          <w:p w:rsidR="00E11796" w:rsidRPr="00D46295" w:rsidRDefault="00E11796" w:rsidP="00E11796">
            <w:pPr>
              <w:numPr>
                <w:ilvl w:val="0"/>
                <w:numId w:val="103"/>
              </w:numPr>
              <w:spacing w:after="0" w:line="240" w:lineRule="auto"/>
              <w:jc w:val="both"/>
              <w:rPr>
                <w:rFonts w:ascii="Palatino Linotype" w:hAnsi="Palatino Linotype"/>
                <w:i/>
                <w:sz w:val="18"/>
                <w:szCs w:val="18"/>
              </w:rPr>
            </w:pPr>
            <w:r w:rsidRPr="00D46295">
              <w:rPr>
                <w:rFonts w:ascii="Palatino Linotype" w:hAnsi="Palatino Linotype"/>
                <w:sz w:val="18"/>
                <w:szCs w:val="18"/>
              </w:rPr>
              <w:t xml:space="preserve">Lidhur me mosekzekutimin e një  vendimi gjyqësor të formës së prerë. </w:t>
            </w:r>
          </w:p>
          <w:p w:rsidR="00E11796" w:rsidRPr="00D46295" w:rsidRDefault="00E11796" w:rsidP="00E11796">
            <w:pPr>
              <w:numPr>
                <w:ilvl w:val="0"/>
                <w:numId w:val="103"/>
              </w:numPr>
              <w:spacing w:after="0" w:line="240" w:lineRule="auto"/>
              <w:jc w:val="both"/>
              <w:rPr>
                <w:rFonts w:ascii="Palatino Linotype" w:hAnsi="Palatino Linotype"/>
                <w:i/>
                <w:sz w:val="18"/>
                <w:szCs w:val="18"/>
              </w:rPr>
            </w:pPr>
            <w:r w:rsidRPr="00D46295">
              <w:rPr>
                <w:rFonts w:ascii="Palatino Linotype" w:hAnsi="Palatino Linotype"/>
                <w:sz w:val="18"/>
                <w:szCs w:val="18"/>
              </w:rPr>
              <w:t>Vënia në lëvizje e gjykatave të zakonshme për kërkim dëmshpërblimi, pas dhënies së vendimeve deklarative.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50"/>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I 04</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 xml:space="preserve">Doktrina e akteve politike dhe kufizimi i kontrollit gjyqësor mbi këto akte. </w:t>
            </w:r>
          </w:p>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Vështrim mbi jurisprudencën e GJEDNJ-së.</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50"/>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I 05</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 xml:space="preserve">Aksesi në gjykatë i funksionarëve publikë. </w:t>
            </w:r>
          </w:p>
          <w:p w:rsidR="00E11796" w:rsidRPr="00D46295" w:rsidRDefault="00E11796" w:rsidP="00E11796">
            <w:pPr>
              <w:numPr>
                <w:ilvl w:val="0"/>
                <w:numId w:val="105"/>
              </w:numPr>
              <w:spacing w:after="0" w:line="240" w:lineRule="auto"/>
              <w:jc w:val="both"/>
              <w:rPr>
                <w:rFonts w:ascii="Palatino Linotype" w:hAnsi="Palatino Linotype"/>
                <w:sz w:val="18"/>
                <w:szCs w:val="18"/>
              </w:rPr>
            </w:pPr>
            <w:r w:rsidRPr="00D46295">
              <w:rPr>
                <w:rFonts w:ascii="Palatino Linotype" w:hAnsi="Palatino Linotype"/>
                <w:sz w:val="18"/>
                <w:szCs w:val="18"/>
              </w:rPr>
              <w:t>Ndarja dhe balancimi i pushteteve.</w:t>
            </w:r>
          </w:p>
          <w:p w:rsidR="00E11796" w:rsidRPr="00D46295" w:rsidRDefault="00E11796" w:rsidP="00E11796">
            <w:pPr>
              <w:numPr>
                <w:ilvl w:val="0"/>
                <w:numId w:val="105"/>
              </w:numPr>
              <w:spacing w:after="0" w:line="240" w:lineRule="auto"/>
              <w:jc w:val="both"/>
              <w:rPr>
                <w:rFonts w:ascii="Palatino Linotype" w:hAnsi="Palatino Linotype"/>
                <w:sz w:val="18"/>
                <w:szCs w:val="18"/>
              </w:rPr>
            </w:pPr>
            <w:r w:rsidRPr="00D46295">
              <w:rPr>
                <w:rFonts w:ascii="Palatino Linotype" w:hAnsi="Palatino Linotype"/>
                <w:sz w:val="18"/>
                <w:szCs w:val="18"/>
              </w:rPr>
              <w:t>Roli aktiv i organizatave të gjyqtarëve në mbrojtje të pavarësisë së gjyqësorit, në proceset e iniciuara para GjK</w:t>
            </w:r>
          </w:p>
          <w:p w:rsidR="00E11796" w:rsidRPr="00D46295" w:rsidRDefault="00E11796" w:rsidP="00E11796">
            <w:pPr>
              <w:numPr>
                <w:ilvl w:val="0"/>
                <w:numId w:val="104"/>
              </w:numPr>
              <w:spacing w:after="0" w:line="240" w:lineRule="auto"/>
              <w:jc w:val="both"/>
              <w:rPr>
                <w:rFonts w:ascii="Palatino Linotype" w:hAnsi="Palatino Linotype"/>
                <w:sz w:val="18"/>
                <w:szCs w:val="18"/>
              </w:rPr>
            </w:pPr>
            <w:r w:rsidRPr="00D46295">
              <w:rPr>
                <w:rFonts w:ascii="Palatino Linotype" w:hAnsi="Palatino Linotype"/>
                <w:sz w:val="18"/>
                <w:szCs w:val="18"/>
              </w:rPr>
              <w:t>Jurisprudenca e GjK-së dhe GJEDNJ-së.</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50"/>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I 06</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Efektet juridike të vendimeve të GjK.</w:t>
            </w:r>
          </w:p>
          <w:p w:rsidR="00E11796" w:rsidRPr="00D46295" w:rsidRDefault="00E11796" w:rsidP="00E11796">
            <w:pPr>
              <w:numPr>
                <w:ilvl w:val="0"/>
                <w:numId w:val="106"/>
              </w:numPr>
              <w:spacing w:after="0" w:line="240" w:lineRule="auto"/>
              <w:jc w:val="both"/>
              <w:rPr>
                <w:rFonts w:ascii="Palatino Linotype" w:hAnsi="Palatino Linotype"/>
                <w:sz w:val="18"/>
                <w:szCs w:val="18"/>
              </w:rPr>
            </w:pPr>
            <w:r w:rsidRPr="00D46295">
              <w:rPr>
                <w:rFonts w:ascii="Palatino Linotype" w:hAnsi="Palatino Linotype"/>
                <w:sz w:val="18"/>
                <w:szCs w:val="18"/>
              </w:rPr>
              <w:t xml:space="preserve">Publikimi dhe hyrja në fuqi e vendimeve të GjK. (Trajtim sipas Kushtetutës dhe ligjit organik të GjK). </w:t>
            </w:r>
          </w:p>
          <w:p w:rsidR="00E11796" w:rsidRPr="00D46295" w:rsidRDefault="00E11796" w:rsidP="00E11796">
            <w:pPr>
              <w:numPr>
                <w:ilvl w:val="0"/>
                <w:numId w:val="106"/>
              </w:numPr>
              <w:spacing w:after="0" w:line="240" w:lineRule="auto"/>
              <w:jc w:val="both"/>
              <w:rPr>
                <w:rFonts w:ascii="Palatino Linotype" w:hAnsi="Palatino Linotype"/>
                <w:sz w:val="18"/>
                <w:szCs w:val="18"/>
              </w:rPr>
            </w:pPr>
            <w:r w:rsidRPr="00D46295">
              <w:rPr>
                <w:rFonts w:ascii="Palatino Linotype" w:hAnsi="Palatino Linotype"/>
                <w:sz w:val="18"/>
                <w:szCs w:val="18"/>
              </w:rPr>
              <w:lastRenderedPageBreak/>
              <w:t>Vështrim krahasues me legjislacionin e gjykatave kushtetuese evropiane.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50"/>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I 07</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Shqyrtimi i kërkesave për cënimin e të drejtave dhe lirive themelore të shtetasve.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50"/>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I 08</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lang w:val="it-IT"/>
              </w:rPr>
            </w:pPr>
            <w:r w:rsidRPr="00D46295">
              <w:rPr>
                <w:rFonts w:ascii="Palatino Linotype" w:hAnsi="Palatino Linotype"/>
                <w:sz w:val="18"/>
                <w:szCs w:val="18"/>
                <w:lang w:val="it-IT"/>
              </w:rPr>
              <w:t>Konventa Europiane per te Drejtat e Njeriut në praktikë.</w:t>
            </w:r>
          </w:p>
          <w:p w:rsidR="00E11796" w:rsidRPr="00D46295" w:rsidRDefault="00E11796" w:rsidP="00E11796">
            <w:pPr>
              <w:numPr>
                <w:ilvl w:val="0"/>
                <w:numId w:val="107"/>
              </w:numPr>
              <w:spacing w:after="0" w:line="240" w:lineRule="auto"/>
              <w:jc w:val="both"/>
              <w:rPr>
                <w:rFonts w:ascii="Palatino Linotype" w:hAnsi="Palatino Linotype"/>
                <w:sz w:val="18"/>
                <w:szCs w:val="18"/>
              </w:rPr>
            </w:pPr>
            <w:r w:rsidRPr="00D46295">
              <w:rPr>
                <w:rFonts w:ascii="Palatino Linotype" w:hAnsi="Palatino Linotype"/>
                <w:sz w:val="18"/>
                <w:szCs w:val="18"/>
                <w:lang w:val="it-IT"/>
              </w:rPr>
              <w:t>Prezantimi i vendimeve më të rëndesishme të Gjykatës Europiane për të Drejtat e Njeriut.</w:t>
            </w:r>
          </w:p>
          <w:p w:rsidR="00E11796" w:rsidRPr="00D46295" w:rsidRDefault="00E11796" w:rsidP="00E11796">
            <w:pPr>
              <w:numPr>
                <w:ilvl w:val="0"/>
                <w:numId w:val="107"/>
              </w:numPr>
              <w:spacing w:after="0" w:line="240" w:lineRule="auto"/>
              <w:jc w:val="both"/>
              <w:rPr>
                <w:rFonts w:ascii="Palatino Linotype" w:hAnsi="Palatino Linotype"/>
                <w:sz w:val="18"/>
                <w:szCs w:val="18"/>
              </w:rPr>
            </w:pPr>
            <w:r w:rsidRPr="00D46295">
              <w:rPr>
                <w:rFonts w:ascii="Palatino Linotype" w:hAnsi="Palatino Linotype"/>
                <w:sz w:val="18"/>
                <w:szCs w:val="18"/>
                <w:lang w:val="it-IT"/>
              </w:rPr>
              <w:t>Trajtimi i garancive më të rëndësishme juridiko-lëndore, psh. liria për jetë familjare, e fesë, liria e tubimit dhe mbrojtja e pronës.</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50"/>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I 09</w:t>
            </w:r>
          </w:p>
        </w:tc>
        <w:tc>
          <w:tcPr>
            <w:tcW w:w="0" w:type="auto"/>
            <w:tcBorders>
              <w:top w:val="single" w:sz="4" w:space="0" w:color="auto"/>
              <w:left w:val="single" w:sz="4" w:space="0" w:color="auto"/>
              <w:bottom w:val="single" w:sz="4" w:space="0" w:color="auto"/>
              <w:right w:val="single" w:sz="4" w:space="0" w:color="auto"/>
            </w:tcBorders>
          </w:tcPr>
          <w:p w:rsidR="00E11796" w:rsidRPr="00D46295" w:rsidRDefault="00E11796" w:rsidP="003B46CD">
            <w:pPr>
              <w:jc w:val="both"/>
              <w:rPr>
                <w:rFonts w:ascii="Palatino Linotype" w:hAnsi="Palatino Linotype"/>
                <w:sz w:val="18"/>
                <w:szCs w:val="18"/>
              </w:rPr>
            </w:pPr>
            <w:r w:rsidRPr="00D46295">
              <w:rPr>
                <w:rFonts w:ascii="Palatino Linotype" w:hAnsi="Palatino Linotype"/>
                <w:sz w:val="18"/>
                <w:szCs w:val="18"/>
              </w:rPr>
              <w:t>E drejta e BE-së dhe MSA-ja.</w:t>
            </w:r>
          </w:p>
          <w:p w:rsidR="00E11796" w:rsidRPr="00D46295" w:rsidRDefault="00E11796" w:rsidP="00E11796">
            <w:pPr>
              <w:numPr>
                <w:ilvl w:val="0"/>
                <w:numId w:val="108"/>
              </w:numPr>
              <w:spacing w:after="0" w:line="240" w:lineRule="auto"/>
              <w:jc w:val="both"/>
              <w:rPr>
                <w:rFonts w:ascii="Palatino Linotype" w:hAnsi="Palatino Linotype"/>
                <w:sz w:val="18"/>
                <w:szCs w:val="18"/>
              </w:rPr>
            </w:pPr>
            <w:r w:rsidRPr="00D46295">
              <w:rPr>
                <w:rFonts w:ascii="Palatino Linotype" w:hAnsi="Palatino Linotype"/>
                <w:sz w:val="18"/>
                <w:szCs w:val="18"/>
              </w:rPr>
              <w:t>Liritë themelore të tregut të brendshëm.</w:t>
            </w:r>
          </w:p>
          <w:p w:rsidR="00E11796" w:rsidRPr="00D46295" w:rsidRDefault="00E11796" w:rsidP="00E11796">
            <w:pPr>
              <w:numPr>
                <w:ilvl w:val="0"/>
                <w:numId w:val="108"/>
              </w:numPr>
              <w:spacing w:after="0" w:line="240" w:lineRule="auto"/>
              <w:jc w:val="both"/>
              <w:rPr>
                <w:rFonts w:ascii="Palatino Linotype" w:hAnsi="Palatino Linotype"/>
                <w:sz w:val="18"/>
                <w:szCs w:val="18"/>
              </w:rPr>
            </w:pPr>
            <w:r w:rsidRPr="00D46295">
              <w:rPr>
                <w:rFonts w:ascii="Palatino Linotype" w:hAnsi="Palatino Linotype"/>
                <w:sz w:val="18"/>
                <w:szCs w:val="18"/>
              </w:rPr>
              <w:t>Kuadri i ligjit Evropian dhe ai i MSA-së.</w:t>
            </w:r>
          </w:p>
          <w:p w:rsidR="00E11796" w:rsidRPr="00D46295" w:rsidRDefault="00E11796" w:rsidP="00E11796">
            <w:pPr>
              <w:numPr>
                <w:ilvl w:val="0"/>
                <w:numId w:val="108"/>
              </w:numPr>
              <w:spacing w:after="0" w:line="240" w:lineRule="auto"/>
              <w:jc w:val="both"/>
              <w:rPr>
                <w:rFonts w:ascii="Palatino Linotype" w:hAnsi="Palatino Linotype"/>
                <w:sz w:val="18"/>
                <w:szCs w:val="18"/>
              </w:rPr>
            </w:pPr>
            <w:r w:rsidRPr="00D46295">
              <w:rPr>
                <w:rFonts w:ascii="Palatino Linotype" w:hAnsi="Palatino Linotype"/>
                <w:sz w:val="18"/>
                <w:szCs w:val="18"/>
              </w:rPr>
              <w:t>Rruga e BE nga Maastrichti te Lisbona. Arritje dhe pengesa.</w:t>
            </w:r>
          </w:p>
          <w:p w:rsidR="00E11796" w:rsidRPr="00100F25" w:rsidRDefault="00E11796" w:rsidP="00E11796">
            <w:pPr>
              <w:numPr>
                <w:ilvl w:val="0"/>
                <w:numId w:val="108"/>
              </w:numPr>
              <w:spacing w:after="0" w:line="240" w:lineRule="auto"/>
              <w:jc w:val="both"/>
              <w:rPr>
                <w:rFonts w:ascii="Palatino Linotype" w:hAnsi="Palatino Linotype"/>
                <w:sz w:val="18"/>
                <w:szCs w:val="18"/>
              </w:rPr>
            </w:pPr>
            <w:r w:rsidRPr="00D46295">
              <w:rPr>
                <w:rFonts w:ascii="Palatino Linotype" w:hAnsi="Palatino Linotype"/>
                <w:sz w:val="18"/>
                <w:szCs w:val="18"/>
              </w:rPr>
              <w:t>Institucionet Europiane dhe kompetencat vendimmarrëse të tyre.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DF6320" w:rsidRDefault="00E11796" w:rsidP="003B46CD">
            <w:pPr>
              <w:jc w:val="center"/>
              <w:rPr>
                <w:rFonts w:ascii="Palatino Linotype" w:hAnsi="Palatino Linotype"/>
                <w:b/>
              </w:rPr>
            </w:pPr>
            <w:r w:rsidRPr="00DF6320">
              <w:rPr>
                <w:rFonts w:ascii="Palatino Linotype" w:hAnsi="Palatino Linotype"/>
                <w:b/>
              </w:rPr>
              <w:t>Nr</w:t>
            </w: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2228B9" w:rsidRDefault="00E11796" w:rsidP="003B46CD">
            <w:pPr>
              <w:jc w:val="center"/>
              <w:rPr>
                <w:rFonts w:ascii="Palatino Linotype" w:hAnsi="Palatino Linotype"/>
                <w:b/>
              </w:rPr>
            </w:pPr>
            <w:r w:rsidRPr="002228B9">
              <w:rPr>
                <w:rFonts w:ascii="Palatino Linotype" w:hAnsi="Palatino Linotype"/>
                <w:b/>
              </w:rPr>
              <w:t>(KODI J) E DREJTË NDËRKOMBËTARE PRIVATE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51"/>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J 01</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 xml:space="preserve">Juridiksioni i gjykatave shqiptare në </w:t>
            </w:r>
            <w:r>
              <w:rPr>
                <w:rFonts w:ascii="Palatino Linotype" w:hAnsi="Palatino Linotype"/>
                <w:sz w:val="18"/>
                <w:szCs w:val="18"/>
              </w:rPr>
              <w:t>cështjet me elemente të huaj.</w:t>
            </w:r>
          </w:p>
          <w:p w:rsidR="00E11796" w:rsidRDefault="00E11796" w:rsidP="00E11796">
            <w:pPr>
              <w:numPr>
                <w:ilvl w:val="1"/>
                <w:numId w:val="51"/>
              </w:numPr>
              <w:spacing w:after="0" w:line="240" w:lineRule="auto"/>
              <w:jc w:val="both"/>
              <w:rPr>
                <w:rFonts w:ascii="Palatino Linotype" w:hAnsi="Palatino Linotype"/>
                <w:sz w:val="18"/>
                <w:szCs w:val="18"/>
              </w:rPr>
            </w:pPr>
            <w:r>
              <w:rPr>
                <w:rFonts w:ascii="Palatino Linotype" w:hAnsi="Palatino Linotype"/>
                <w:sz w:val="18"/>
                <w:szCs w:val="18"/>
              </w:rPr>
              <w:t>Konventat dhe legjislacioni  shqiptar në fushën e të drejtës ndërkombëtare private.</w:t>
            </w:r>
          </w:p>
          <w:p w:rsidR="00E11796" w:rsidRDefault="00E11796" w:rsidP="00E11796">
            <w:pPr>
              <w:numPr>
                <w:ilvl w:val="1"/>
                <w:numId w:val="51"/>
              </w:numPr>
              <w:spacing w:after="0" w:line="240" w:lineRule="auto"/>
              <w:jc w:val="both"/>
              <w:rPr>
                <w:rFonts w:ascii="Palatino Linotype" w:hAnsi="Palatino Linotype"/>
                <w:sz w:val="18"/>
                <w:szCs w:val="18"/>
              </w:rPr>
            </w:pPr>
            <w:r>
              <w:rPr>
                <w:rFonts w:ascii="Palatino Linotype" w:hAnsi="Palatino Linotype"/>
                <w:sz w:val="18"/>
                <w:szCs w:val="18"/>
              </w:rPr>
              <w:t>Kuptimi i elementëve lidhës dhe interpretimi i tyre.</w:t>
            </w:r>
          </w:p>
          <w:p w:rsidR="00E11796" w:rsidRDefault="00E11796" w:rsidP="00E11796">
            <w:pPr>
              <w:numPr>
                <w:ilvl w:val="1"/>
                <w:numId w:val="51"/>
              </w:numPr>
              <w:spacing w:after="0" w:line="240" w:lineRule="auto"/>
              <w:jc w:val="both"/>
              <w:rPr>
                <w:rFonts w:ascii="Palatino Linotype" w:hAnsi="Palatino Linotype"/>
                <w:sz w:val="18"/>
                <w:szCs w:val="18"/>
              </w:rPr>
            </w:pPr>
            <w:r>
              <w:rPr>
                <w:rFonts w:ascii="Palatino Linotype" w:hAnsi="Palatino Linotype"/>
                <w:sz w:val="18"/>
                <w:szCs w:val="18"/>
              </w:rPr>
              <w:t xml:space="preserve">Konfliktet në fushën </w:t>
            </w:r>
            <w:r w:rsidRPr="00A600FE">
              <w:rPr>
                <w:rFonts w:ascii="Palatino Linotype" w:hAnsi="Palatino Linotype"/>
                <w:sz w:val="18"/>
                <w:szCs w:val="18"/>
              </w:rPr>
              <w:t>kontrakt</w:t>
            </w:r>
            <w:r>
              <w:rPr>
                <w:rFonts w:ascii="Palatino Linotype" w:hAnsi="Palatino Linotype"/>
                <w:sz w:val="18"/>
                <w:szCs w:val="18"/>
              </w:rPr>
              <w:t>ore.</w:t>
            </w:r>
          </w:p>
          <w:p w:rsidR="00E11796" w:rsidRDefault="00E11796" w:rsidP="00E11796">
            <w:pPr>
              <w:numPr>
                <w:ilvl w:val="1"/>
                <w:numId w:val="51"/>
              </w:numPr>
              <w:spacing w:after="0" w:line="240" w:lineRule="auto"/>
              <w:jc w:val="both"/>
              <w:rPr>
                <w:rFonts w:ascii="Palatino Linotype" w:hAnsi="Palatino Linotype"/>
                <w:sz w:val="18"/>
                <w:szCs w:val="18"/>
              </w:rPr>
            </w:pPr>
            <w:r>
              <w:rPr>
                <w:rFonts w:ascii="Palatino Linotype" w:hAnsi="Palatino Linotype"/>
                <w:sz w:val="18"/>
                <w:szCs w:val="18"/>
              </w:rPr>
              <w:t xml:space="preserve">Konfliktet në fushën </w:t>
            </w:r>
            <w:r w:rsidRPr="00A600FE">
              <w:rPr>
                <w:rFonts w:ascii="Palatino Linotype" w:hAnsi="Palatino Linotype"/>
                <w:sz w:val="18"/>
                <w:szCs w:val="18"/>
              </w:rPr>
              <w:t xml:space="preserve">familjare </w:t>
            </w:r>
            <w:r>
              <w:rPr>
                <w:rFonts w:ascii="Palatino Linotype" w:hAnsi="Palatino Linotype"/>
                <w:sz w:val="18"/>
                <w:szCs w:val="18"/>
              </w:rPr>
              <w:t>dhe roli i Konventave të Hagës.</w:t>
            </w:r>
          </w:p>
          <w:p w:rsidR="00E11796" w:rsidRPr="00CA0556" w:rsidRDefault="00E11796" w:rsidP="00E11796">
            <w:pPr>
              <w:numPr>
                <w:ilvl w:val="1"/>
                <w:numId w:val="51"/>
              </w:numPr>
              <w:spacing w:after="0" w:line="240" w:lineRule="auto"/>
              <w:jc w:val="both"/>
              <w:rPr>
                <w:rFonts w:ascii="Palatino Linotype" w:hAnsi="Palatino Linotype"/>
                <w:sz w:val="18"/>
                <w:szCs w:val="18"/>
              </w:rPr>
            </w:pPr>
            <w:r>
              <w:rPr>
                <w:rFonts w:ascii="Palatino Linotype" w:hAnsi="Palatino Linotype"/>
                <w:sz w:val="18"/>
                <w:szCs w:val="18"/>
              </w:rPr>
              <w:t xml:space="preserve">Konfliktet në fushën </w:t>
            </w:r>
            <w:r w:rsidRPr="00A600FE">
              <w:rPr>
                <w:rFonts w:ascii="Palatino Linotype" w:hAnsi="Palatino Linotype"/>
                <w:sz w:val="18"/>
                <w:szCs w:val="18"/>
              </w:rPr>
              <w:t>trashëgimore.</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51"/>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3B46CD">
            <w:pPr>
              <w:jc w:val="center"/>
              <w:rPr>
                <w:rFonts w:ascii="Palatino Linotype" w:hAnsi="Palatino Linotype"/>
                <w:b/>
                <w:sz w:val="18"/>
                <w:szCs w:val="18"/>
              </w:rPr>
            </w:pPr>
            <w:r w:rsidRPr="00A600FE">
              <w:rPr>
                <w:rFonts w:ascii="Palatino Linotype" w:hAnsi="Palatino Linotype"/>
                <w:b/>
                <w:sz w:val="18"/>
                <w:szCs w:val="18"/>
              </w:rPr>
              <w:t>J 02</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Kon</w:t>
            </w:r>
            <w:r>
              <w:rPr>
                <w:rFonts w:ascii="Palatino Linotype" w:hAnsi="Palatino Linotype"/>
                <w:sz w:val="18"/>
                <w:szCs w:val="18"/>
              </w:rPr>
              <w:t xml:space="preserve">ventat e </w:t>
            </w:r>
            <w:r w:rsidRPr="00A600FE">
              <w:rPr>
                <w:rFonts w:ascii="Palatino Linotype" w:hAnsi="Palatino Linotype"/>
                <w:sz w:val="18"/>
                <w:szCs w:val="18"/>
              </w:rPr>
              <w:t>Hagës</w:t>
            </w:r>
            <w:r>
              <w:rPr>
                <w:rFonts w:ascii="Palatino Linotype" w:hAnsi="Palatino Linotype"/>
                <w:sz w:val="18"/>
                <w:szCs w:val="18"/>
              </w:rPr>
              <w:t xml:space="preserve"> në fushën e </w:t>
            </w:r>
            <w:r w:rsidRPr="00A600FE">
              <w:rPr>
                <w:rFonts w:ascii="Palatino Linotype" w:hAnsi="Palatino Linotype"/>
                <w:sz w:val="18"/>
                <w:szCs w:val="18"/>
              </w:rPr>
              <w:t>të drejtë</w:t>
            </w:r>
            <w:r>
              <w:rPr>
                <w:rFonts w:ascii="Palatino Linotype" w:hAnsi="Palatino Linotype"/>
                <w:sz w:val="18"/>
                <w:szCs w:val="18"/>
              </w:rPr>
              <w:t>s</w:t>
            </w:r>
            <w:r w:rsidRPr="00A600FE">
              <w:rPr>
                <w:rFonts w:ascii="Palatino Linotype" w:hAnsi="Palatino Linotype"/>
                <w:sz w:val="18"/>
                <w:szCs w:val="18"/>
              </w:rPr>
              <w:t xml:space="preserve"> ndërkombët</w:t>
            </w:r>
            <w:r>
              <w:rPr>
                <w:rFonts w:ascii="Palatino Linotype" w:hAnsi="Palatino Linotype"/>
                <w:sz w:val="18"/>
                <w:szCs w:val="18"/>
              </w:rPr>
              <w:t>a</w:t>
            </w:r>
            <w:r w:rsidRPr="00A600FE">
              <w:rPr>
                <w:rFonts w:ascii="Palatino Linotype" w:hAnsi="Palatino Linotype"/>
                <w:sz w:val="18"/>
                <w:szCs w:val="18"/>
              </w:rPr>
              <w:t>re private</w:t>
            </w:r>
            <w:r>
              <w:rPr>
                <w:rFonts w:ascii="Palatino Linotype" w:hAnsi="Palatino Linotype"/>
                <w:sz w:val="18"/>
                <w:szCs w:val="18"/>
              </w:rPr>
              <w:t xml:space="preserve"> dhe roli i sistemit të drejtësisë.</w:t>
            </w:r>
          </w:p>
          <w:p w:rsidR="00E11796" w:rsidRDefault="00E11796" w:rsidP="00E11796">
            <w:pPr>
              <w:numPr>
                <w:ilvl w:val="0"/>
                <w:numId w:val="91"/>
              </w:numPr>
              <w:spacing w:after="0" w:line="240" w:lineRule="auto"/>
              <w:jc w:val="both"/>
              <w:rPr>
                <w:rFonts w:ascii="Palatino Linotype" w:hAnsi="Palatino Linotype"/>
                <w:sz w:val="18"/>
                <w:szCs w:val="18"/>
              </w:rPr>
            </w:pPr>
            <w:r>
              <w:rPr>
                <w:rFonts w:ascii="Palatino Linotype" w:hAnsi="Palatino Linotype"/>
                <w:sz w:val="18"/>
                <w:szCs w:val="18"/>
              </w:rPr>
              <w:t>Autoritetet.</w:t>
            </w:r>
          </w:p>
          <w:p w:rsidR="00E11796" w:rsidRDefault="00E11796" w:rsidP="00E11796">
            <w:pPr>
              <w:numPr>
                <w:ilvl w:val="0"/>
                <w:numId w:val="91"/>
              </w:numPr>
              <w:spacing w:after="0" w:line="240" w:lineRule="auto"/>
              <w:jc w:val="both"/>
              <w:rPr>
                <w:rFonts w:ascii="Palatino Linotype" w:hAnsi="Palatino Linotype"/>
                <w:sz w:val="18"/>
                <w:szCs w:val="18"/>
              </w:rPr>
            </w:pPr>
            <w:r>
              <w:rPr>
                <w:rFonts w:ascii="Palatino Linotype" w:hAnsi="Palatino Linotype"/>
                <w:sz w:val="18"/>
                <w:szCs w:val="18"/>
              </w:rPr>
              <w:t>Bashkëpunimi.</w:t>
            </w:r>
          </w:p>
          <w:p w:rsidR="00E11796" w:rsidRDefault="00E11796" w:rsidP="00E11796">
            <w:pPr>
              <w:numPr>
                <w:ilvl w:val="0"/>
                <w:numId w:val="91"/>
              </w:numPr>
              <w:spacing w:after="0" w:line="240" w:lineRule="auto"/>
              <w:jc w:val="both"/>
              <w:rPr>
                <w:rFonts w:ascii="Palatino Linotype" w:hAnsi="Palatino Linotype"/>
                <w:sz w:val="18"/>
                <w:szCs w:val="18"/>
              </w:rPr>
            </w:pPr>
            <w:r w:rsidRPr="00A600FE">
              <w:rPr>
                <w:rFonts w:ascii="Palatino Linotype" w:hAnsi="Palatino Linotype"/>
                <w:sz w:val="18"/>
                <w:szCs w:val="18"/>
              </w:rPr>
              <w:t>Pro</w:t>
            </w:r>
            <w:r>
              <w:rPr>
                <w:rFonts w:ascii="Palatino Linotype" w:hAnsi="Palatino Linotype"/>
                <w:sz w:val="18"/>
                <w:szCs w:val="18"/>
              </w:rPr>
              <w:t>blemet në vëmendje sipas aktorëve të përfshirë në zbatimin e tyre.</w:t>
            </w:r>
          </w:p>
          <w:p w:rsidR="00E11796" w:rsidRPr="00A600FE" w:rsidRDefault="00E11796" w:rsidP="00E11796">
            <w:pPr>
              <w:numPr>
                <w:ilvl w:val="0"/>
                <w:numId w:val="91"/>
              </w:numPr>
              <w:spacing w:after="0" w:line="240" w:lineRule="auto"/>
              <w:jc w:val="both"/>
              <w:rPr>
                <w:rFonts w:ascii="Palatino Linotype" w:hAnsi="Palatino Linotype"/>
                <w:sz w:val="18"/>
                <w:szCs w:val="18"/>
              </w:rPr>
            </w:pPr>
            <w:r>
              <w:rPr>
                <w:rFonts w:ascii="Palatino Linotype" w:hAnsi="Palatino Linotype"/>
                <w:sz w:val="18"/>
                <w:szCs w:val="18"/>
              </w:rPr>
              <w:t>Konventat e Hagës në Jurisprudencën e GjEDNj.</w:t>
            </w:r>
          </w:p>
        </w:tc>
      </w:tr>
      <w:tr w:rsidR="00E11796" w:rsidRPr="00A600FE" w:rsidTr="003B46CD">
        <w:trPr>
          <w:trHeight w:val="96"/>
        </w:trPr>
        <w:tc>
          <w:tcPr>
            <w:tcW w:w="0" w:type="auto"/>
            <w:tcBorders>
              <w:top w:val="single" w:sz="4" w:space="0" w:color="auto"/>
              <w:left w:val="single" w:sz="4" w:space="0" w:color="auto"/>
              <w:bottom w:val="single" w:sz="4" w:space="0" w:color="auto"/>
              <w:right w:val="single" w:sz="4" w:space="0" w:color="auto"/>
            </w:tcBorders>
          </w:tcPr>
          <w:p w:rsidR="00E11796" w:rsidRPr="00A600FE" w:rsidRDefault="00E11796" w:rsidP="00E11796">
            <w:pPr>
              <w:numPr>
                <w:ilvl w:val="0"/>
                <w:numId w:val="51"/>
              </w:numPr>
              <w:spacing w:after="0" w:line="240" w:lineRule="auto"/>
              <w:jc w:val="center"/>
              <w:rPr>
                <w:rFonts w:ascii="Palatino Linotype" w:hAnsi="Palatino Linotype"/>
                <w:sz w:val="18"/>
                <w:szCs w:val="18"/>
              </w:rPr>
            </w:pP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center"/>
              <w:rPr>
                <w:rFonts w:ascii="Palatino Linotype" w:hAnsi="Palatino Linotype"/>
                <w:b/>
                <w:sz w:val="18"/>
                <w:szCs w:val="18"/>
              </w:rPr>
            </w:pPr>
            <w:r>
              <w:rPr>
                <w:rFonts w:ascii="Palatino Linotype" w:hAnsi="Palatino Linotype"/>
                <w:b/>
                <w:sz w:val="18"/>
                <w:szCs w:val="18"/>
              </w:rPr>
              <w:t>J 03</w:t>
            </w:r>
          </w:p>
          <w:p w:rsidR="00E11796" w:rsidRPr="00A600FE" w:rsidRDefault="00E11796" w:rsidP="003B46CD">
            <w:pPr>
              <w:jc w:val="center"/>
              <w:rPr>
                <w:rFonts w:ascii="Palatino Linotype" w:hAnsi="Palatino Linotype"/>
                <w:b/>
                <w:sz w:val="18"/>
                <w:szCs w:val="18"/>
              </w:rPr>
            </w:pPr>
            <w:r>
              <w:rPr>
                <w:rFonts w:ascii="Palatino Linotype" w:hAnsi="Palatino Linotype"/>
                <w:b/>
                <w:sz w:val="18"/>
                <w:szCs w:val="18"/>
              </w:rPr>
              <w:t>Aktivitet ndërdisiplinor</w:t>
            </w:r>
          </w:p>
        </w:tc>
        <w:tc>
          <w:tcPr>
            <w:tcW w:w="0" w:type="auto"/>
            <w:tcBorders>
              <w:top w:val="single" w:sz="4" w:space="0" w:color="auto"/>
              <w:left w:val="single" w:sz="4" w:space="0" w:color="auto"/>
              <w:bottom w:val="single" w:sz="4" w:space="0" w:color="auto"/>
              <w:right w:val="single" w:sz="4" w:space="0" w:color="auto"/>
            </w:tcBorders>
          </w:tcPr>
          <w:p w:rsidR="00E11796" w:rsidRDefault="00E11796" w:rsidP="003B46CD">
            <w:pPr>
              <w:jc w:val="both"/>
              <w:rPr>
                <w:rFonts w:ascii="Palatino Linotype" w:hAnsi="Palatino Linotype"/>
                <w:sz w:val="18"/>
                <w:szCs w:val="18"/>
              </w:rPr>
            </w:pPr>
            <w:r w:rsidRPr="00A600FE">
              <w:rPr>
                <w:rFonts w:ascii="Palatino Linotype" w:hAnsi="Palatino Linotype"/>
                <w:sz w:val="18"/>
                <w:szCs w:val="18"/>
              </w:rPr>
              <w:t>Çështje</w:t>
            </w:r>
            <w:r>
              <w:rPr>
                <w:rFonts w:ascii="Palatino Linotype" w:hAnsi="Palatino Linotype"/>
                <w:sz w:val="18"/>
                <w:szCs w:val="18"/>
              </w:rPr>
              <w:t xml:space="preserve">t familjare me elementë të huaj. </w:t>
            </w:r>
          </w:p>
          <w:p w:rsidR="00E11796" w:rsidRDefault="00E11796" w:rsidP="00E11796">
            <w:pPr>
              <w:numPr>
                <w:ilvl w:val="1"/>
                <w:numId w:val="92"/>
              </w:numPr>
              <w:spacing w:after="0" w:line="240" w:lineRule="auto"/>
              <w:jc w:val="both"/>
              <w:rPr>
                <w:rFonts w:ascii="Palatino Linotype" w:hAnsi="Palatino Linotype"/>
                <w:i/>
                <w:sz w:val="18"/>
                <w:szCs w:val="18"/>
              </w:rPr>
            </w:pPr>
            <w:r>
              <w:rPr>
                <w:rFonts w:ascii="Palatino Linotype" w:hAnsi="Palatino Linotype"/>
                <w:i/>
                <w:sz w:val="18"/>
                <w:szCs w:val="18"/>
              </w:rPr>
              <w:t>Kuadri ligjor vendas dhe standardet konvencionale me fokus konventat e Hagës;</w:t>
            </w:r>
          </w:p>
          <w:p w:rsidR="00E11796" w:rsidRDefault="00E11796" w:rsidP="00E11796">
            <w:pPr>
              <w:numPr>
                <w:ilvl w:val="1"/>
                <w:numId w:val="92"/>
              </w:numPr>
              <w:spacing w:after="0" w:line="240" w:lineRule="auto"/>
              <w:jc w:val="both"/>
              <w:rPr>
                <w:rFonts w:ascii="Palatino Linotype" w:hAnsi="Palatino Linotype"/>
                <w:i/>
                <w:sz w:val="18"/>
                <w:szCs w:val="18"/>
              </w:rPr>
            </w:pPr>
            <w:r w:rsidRPr="00A600FE">
              <w:rPr>
                <w:rFonts w:ascii="Palatino Linotype" w:hAnsi="Palatino Linotype"/>
                <w:i/>
                <w:sz w:val="18"/>
                <w:szCs w:val="18"/>
              </w:rPr>
              <w:t>Martesa</w:t>
            </w:r>
            <w:r>
              <w:rPr>
                <w:rFonts w:ascii="Palatino Linotype" w:hAnsi="Palatino Linotype"/>
                <w:i/>
                <w:sz w:val="18"/>
                <w:szCs w:val="18"/>
              </w:rPr>
              <w:t xml:space="preserve"> me elementë të huaj;</w:t>
            </w:r>
          </w:p>
          <w:p w:rsidR="00E11796" w:rsidRDefault="00E11796" w:rsidP="00E11796">
            <w:pPr>
              <w:numPr>
                <w:ilvl w:val="1"/>
                <w:numId w:val="92"/>
              </w:numPr>
              <w:spacing w:after="0" w:line="240" w:lineRule="auto"/>
              <w:jc w:val="both"/>
              <w:rPr>
                <w:rFonts w:ascii="Palatino Linotype" w:hAnsi="Palatino Linotype"/>
                <w:i/>
                <w:sz w:val="18"/>
                <w:szCs w:val="18"/>
              </w:rPr>
            </w:pPr>
            <w:r>
              <w:rPr>
                <w:rFonts w:ascii="Palatino Linotype" w:hAnsi="Palatino Linotype"/>
                <w:i/>
                <w:sz w:val="18"/>
                <w:szCs w:val="18"/>
              </w:rPr>
              <w:t>Pavlefshmëria e martesës;</w:t>
            </w:r>
          </w:p>
          <w:p w:rsidR="00E11796" w:rsidRDefault="00E11796" w:rsidP="00E11796">
            <w:pPr>
              <w:numPr>
                <w:ilvl w:val="1"/>
                <w:numId w:val="92"/>
              </w:numPr>
              <w:spacing w:after="0" w:line="240" w:lineRule="auto"/>
              <w:jc w:val="both"/>
              <w:rPr>
                <w:rFonts w:ascii="Palatino Linotype" w:hAnsi="Palatino Linotype"/>
                <w:i/>
                <w:sz w:val="18"/>
                <w:szCs w:val="18"/>
              </w:rPr>
            </w:pPr>
            <w:r>
              <w:rPr>
                <w:rFonts w:ascii="Palatino Linotype" w:hAnsi="Palatino Linotype"/>
                <w:i/>
                <w:sz w:val="18"/>
                <w:szCs w:val="18"/>
              </w:rPr>
              <w:t>Zgjidhja e martesës;</w:t>
            </w:r>
          </w:p>
          <w:p w:rsidR="00E11796" w:rsidRDefault="00E11796" w:rsidP="00E11796">
            <w:pPr>
              <w:numPr>
                <w:ilvl w:val="1"/>
                <w:numId w:val="92"/>
              </w:numPr>
              <w:spacing w:after="0" w:line="240" w:lineRule="auto"/>
              <w:jc w:val="both"/>
              <w:rPr>
                <w:rFonts w:ascii="Palatino Linotype" w:hAnsi="Palatino Linotype"/>
                <w:i/>
                <w:sz w:val="18"/>
                <w:szCs w:val="18"/>
              </w:rPr>
            </w:pPr>
            <w:r>
              <w:rPr>
                <w:rFonts w:ascii="Palatino Linotype" w:hAnsi="Palatino Linotype"/>
                <w:i/>
                <w:sz w:val="18"/>
                <w:szCs w:val="18"/>
              </w:rPr>
              <w:t>R</w:t>
            </w:r>
            <w:r w:rsidRPr="00A600FE">
              <w:rPr>
                <w:rFonts w:ascii="Palatino Linotype" w:hAnsi="Palatino Linotype"/>
                <w:i/>
                <w:sz w:val="18"/>
                <w:szCs w:val="18"/>
              </w:rPr>
              <w:t xml:space="preserve">egjimet pasurore; </w:t>
            </w:r>
          </w:p>
          <w:p w:rsidR="00E11796" w:rsidRDefault="00E11796" w:rsidP="00E11796">
            <w:pPr>
              <w:numPr>
                <w:ilvl w:val="1"/>
                <w:numId w:val="92"/>
              </w:numPr>
              <w:spacing w:after="0" w:line="240" w:lineRule="auto"/>
              <w:jc w:val="both"/>
              <w:rPr>
                <w:rFonts w:ascii="Palatino Linotype" w:hAnsi="Palatino Linotype"/>
                <w:i/>
                <w:sz w:val="18"/>
                <w:szCs w:val="18"/>
              </w:rPr>
            </w:pPr>
            <w:r>
              <w:rPr>
                <w:rFonts w:ascii="Palatino Linotype" w:hAnsi="Palatino Linotype"/>
                <w:i/>
                <w:sz w:val="18"/>
                <w:szCs w:val="18"/>
              </w:rPr>
              <w:t>B</w:t>
            </w:r>
            <w:r w:rsidRPr="00A600FE">
              <w:rPr>
                <w:rFonts w:ascii="Palatino Linotype" w:hAnsi="Palatino Linotype"/>
                <w:i/>
                <w:sz w:val="18"/>
                <w:szCs w:val="18"/>
              </w:rPr>
              <w:t xml:space="preserve">irësimi; </w:t>
            </w:r>
          </w:p>
          <w:p w:rsidR="00E11796" w:rsidRDefault="00E11796" w:rsidP="00E11796">
            <w:pPr>
              <w:numPr>
                <w:ilvl w:val="1"/>
                <w:numId w:val="92"/>
              </w:numPr>
              <w:spacing w:after="0" w:line="240" w:lineRule="auto"/>
              <w:jc w:val="both"/>
              <w:rPr>
                <w:rFonts w:ascii="Palatino Linotype" w:hAnsi="Palatino Linotype"/>
                <w:i/>
                <w:sz w:val="18"/>
                <w:szCs w:val="18"/>
              </w:rPr>
            </w:pPr>
            <w:r>
              <w:rPr>
                <w:rFonts w:ascii="Palatino Linotype" w:hAnsi="Palatino Linotype"/>
                <w:i/>
                <w:sz w:val="18"/>
                <w:szCs w:val="18"/>
              </w:rPr>
              <w:t>T</w:t>
            </w:r>
            <w:r w:rsidRPr="00A600FE">
              <w:rPr>
                <w:rFonts w:ascii="Palatino Linotype" w:hAnsi="Palatino Linotype"/>
                <w:i/>
                <w:sz w:val="18"/>
                <w:szCs w:val="18"/>
              </w:rPr>
              <w:t xml:space="preserve">ë drejtat prindërore; </w:t>
            </w:r>
          </w:p>
          <w:p w:rsidR="00E11796" w:rsidRPr="006D2615" w:rsidRDefault="00E11796" w:rsidP="00E11796">
            <w:pPr>
              <w:numPr>
                <w:ilvl w:val="1"/>
                <w:numId w:val="92"/>
              </w:numPr>
              <w:spacing w:after="0" w:line="240" w:lineRule="auto"/>
              <w:jc w:val="both"/>
              <w:rPr>
                <w:rFonts w:ascii="Palatino Linotype" w:hAnsi="Palatino Linotype"/>
                <w:i/>
                <w:sz w:val="18"/>
                <w:szCs w:val="18"/>
              </w:rPr>
            </w:pPr>
            <w:r>
              <w:rPr>
                <w:rFonts w:ascii="Palatino Linotype" w:hAnsi="Palatino Linotype"/>
                <w:i/>
                <w:sz w:val="18"/>
                <w:szCs w:val="18"/>
              </w:rPr>
              <w:t>K</w:t>
            </w:r>
            <w:r w:rsidRPr="00A600FE">
              <w:rPr>
                <w:rFonts w:ascii="Palatino Linotype" w:hAnsi="Palatino Linotype"/>
                <w:i/>
                <w:sz w:val="18"/>
                <w:szCs w:val="18"/>
              </w:rPr>
              <w:t>ujdestari</w:t>
            </w:r>
            <w:r>
              <w:rPr>
                <w:rFonts w:ascii="Palatino Linotype" w:hAnsi="Palatino Linotype"/>
                <w:i/>
                <w:sz w:val="18"/>
                <w:szCs w:val="18"/>
              </w:rPr>
              <w:t>a.</w:t>
            </w:r>
          </w:p>
        </w:tc>
      </w:tr>
    </w:tbl>
    <w:p w:rsidR="00E11796" w:rsidRDefault="00E11796" w:rsidP="00201C85">
      <w:pPr>
        <w:jc w:val="both"/>
        <w:rPr>
          <w:rFonts w:ascii="Bookman Old Style" w:hAnsi="Bookman Old Style"/>
          <w:b/>
          <w:bCs/>
          <w:color w:val="372971" w:themeColor="accent5" w:themeShade="80"/>
          <w:sz w:val="24"/>
          <w:szCs w:val="24"/>
        </w:rPr>
      </w:pPr>
    </w:p>
    <w:p w:rsidR="00E11796" w:rsidRPr="00201C85" w:rsidRDefault="00E11796" w:rsidP="00201C85">
      <w:pPr>
        <w:jc w:val="both"/>
        <w:rPr>
          <w:rFonts w:ascii="Bookman Old Style" w:hAnsi="Bookman Old Style"/>
          <w:b/>
          <w:bCs/>
          <w:color w:val="372971" w:themeColor="accent5" w:themeShade="80"/>
          <w:sz w:val="24"/>
          <w:szCs w:val="24"/>
        </w:rPr>
      </w:pPr>
    </w:p>
    <w:bookmarkEnd w:id="27"/>
    <w:p w:rsidR="00824B14" w:rsidRDefault="00824B14" w:rsidP="002E4C6C">
      <w:pPr>
        <w:rPr>
          <w:rFonts w:ascii="Times New Roman" w:hAnsi="Times New Roman" w:cs="Times New Roman"/>
          <w:sz w:val="24"/>
          <w:szCs w:val="24"/>
        </w:rPr>
      </w:pPr>
    </w:p>
    <w:p w:rsidR="00824B14" w:rsidRDefault="00824B14" w:rsidP="00E22FE0">
      <w:pPr>
        <w:spacing w:line="240" w:lineRule="auto"/>
        <w:jc w:val="center"/>
        <w:rPr>
          <w:b/>
        </w:rPr>
      </w:pPr>
    </w:p>
    <w:p w:rsidR="00E22FE0" w:rsidRDefault="00E22FE0" w:rsidP="00E22FE0">
      <w:pPr>
        <w:spacing w:line="240" w:lineRule="auto"/>
        <w:jc w:val="center"/>
        <w:rPr>
          <w:b/>
        </w:rPr>
      </w:pPr>
    </w:p>
    <w:p w:rsidR="00E22FE0" w:rsidRDefault="00E22FE0" w:rsidP="00E22FE0">
      <w:pPr>
        <w:spacing w:line="240" w:lineRule="auto"/>
        <w:jc w:val="center"/>
        <w:rPr>
          <w:b/>
        </w:rPr>
      </w:pPr>
    </w:p>
    <w:p w:rsidR="00E22FE0" w:rsidRDefault="00E22FE0" w:rsidP="00E22FE0">
      <w:pPr>
        <w:spacing w:line="240" w:lineRule="auto"/>
        <w:rPr>
          <w:b/>
        </w:rPr>
      </w:pPr>
    </w:p>
    <w:sectPr w:rsidR="00E22FE0" w:rsidSect="008633F3">
      <w:type w:val="oddPage"/>
      <w:pgSz w:w="12240" w:h="15840" w:code="1"/>
      <w:pgMar w:top="1440" w:right="900" w:bottom="1440" w:left="993" w:header="720" w:footer="720" w:gutter="0"/>
      <w:pgBorders w:offsetFrom="page">
        <w:top w:val="single" w:sz="4" w:space="20" w:color="7030A0"/>
        <w:left w:val="single" w:sz="4" w:space="20" w:color="7030A0"/>
        <w:bottom w:val="single" w:sz="4" w:space="20" w:color="7030A0"/>
        <w:right w:val="single" w:sz="4" w:space="20" w:color="7030A0"/>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A46" w:rsidRDefault="008A4A46" w:rsidP="00701E81">
      <w:pPr>
        <w:spacing w:after="0" w:line="240" w:lineRule="auto"/>
      </w:pPr>
      <w:r>
        <w:separator/>
      </w:r>
    </w:p>
  </w:endnote>
  <w:endnote w:type="continuationSeparator" w:id="1">
    <w:p w:rsidR="008A4A46" w:rsidRDefault="008A4A46" w:rsidP="00701E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19991233"/>
      <w:docPartObj>
        <w:docPartGallery w:val="Page Numbers (Bottom of Page)"/>
        <w:docPartUnique/>
      </w:docPartObj>
    </w:sdtPr>
    <w:sdtContent>
      <w:p w:rsidR="006B34AB" w:rsidRDefault="004F065D">
        <w:pPr>
          <w:pStyle w:val="Footer"/>
          <w:jc w:val="center"/>
        </w:pPr>
        <w:r w:rsidRPr="004F065D">
          <w:rPr>
            <w:noProof/>
            <w:color w:val="FFFFFF" w:themeColor="background1"/>
          </w:rPr>
        </w:r>
        <w:r w:rsidRPr="004F065D">
          <w:rPr>
            <w:noProof/>
            <w:color w:val="FFFFFF" w:themeColor="background1"/>
          </w:rPr>
          <w:pict>
            <v:group id="Group 5" o:spid="_x0000_s409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CBGQQAAFoNAAAOAAAAZHJzL2Uyb0RvYy54bWzsV9uO2zYQfS/QfyD47rWklWRJWG2w68ui&#10;wLYNmvQDaIm6tBKpkvTam6L/3uFQlu1NW6RJmqJA/WDwNsOZM5dD3bw69B154kq3UuTUv/Io4aKQ&#10;ZSvqnP74djNLKNGGiZJ1UvCcPnNNX91+/dXNfsh4IBvZlVwRUCJ0th9y2hgzZPO5LhreM30lBy5g&#10;s5KqZwamqp6Xiu1Be9/NA8+L53upykHJgmsNqyu3SW9Rf1XxwnxfVZob0uUUbDP4r/B/a//ntzcs&#10;qxUbmrYYzWAfYUXPWgGXTqpWzDCyU+17qvq2UFLLylwVsp/LqmoLjj6AN773wpsHJXcD+lJn+3qY&#10;YAJoX+D00WqL755eK9KWEDtKBOshRHgriSw0+6HO4MSDGt4Mr5XzD4aPsvhZw/b85b6d1+4w2e6/&#10;lSWoYzsjEZpDpXqrApwmB4zA8xQBfjCkgMUoTOIQ4lTAVnC9CNMxQkUDYbRSsR9SAptxPO2sR1mQ&#10;dIIgZ42fs8xdiWaOZlmfINP0CUz9aWC+adjAMUbaQjWCGQRHNO/AfTxDYocoHjvCqR2WRMhlw0TN&#10;75SS+4azEqzy0QlrLuh1AnaiIRJ/DC5REvJ7FoWe/SHmI9ZJlCJqoY9hZdkRbwsVgm3BO8eMZYPS&#10;5oHLnthBTiEVRfkD1BPqZU+P2mA+lGPWsPInSqq+g+p5Yh3x4zhejBrHwxCPo04rqWXXlpu263Ci&#10;6u2yUwREc7rB3yh8cawTZJ/TNAoitOJiD1sGn5Rs6wDPdLse8tApXkQWF3CTZbBsMwrvwyWwbtKA&#10;uXOhHL1HQRuctShxbFjbuTFIdwILwgXIpdlWls8QLAwLJDW0SQCykeodJXtoOTnVv+yY4pR03wgI&#10;eOqHNvcNTsJoEcBEne9sz3eYKEBVTg0lbrg0rq/tBtXWDdzkIwBC2hSsWmPDaxPIWTVOoBK+VElc&#10;v18SmCEXGQ5R+EIlkQIzQSMJI6yzU0kEaexKYpEG/2pJWAr8p/L5/0KCehtL7D9XSNCyHVO/tW38&#10;Xh5IYhP1rI6IOcDysQN81oqyzXNklcU1sByU0MJHajuVUGzpBik8QcsmJj4xwJFVLgjFdqjTEXuT&#10;kJYhsNna/nq2MHZcvHTkIosGvrl+Tb10nayTcBYG8XoWeqvV7G6zDGfxxl9Eq+vVcrnyf7Pd0Q+z&#10;pi1LLuw1x/efH37Yk2B8ibqX2/QCvOAN/SG8Nr80A0EAX6y7Zy75QejdB+lsEyeLWbgJo1m68JKZ&#10;56f3aeyFabjaXLr02Ar+6S79BeGe+4ZPjolIz6m9bw288Lu2z2mCpxwB/xmPThGx5p+ggHADFhho&#10;JDH7CnIpbw7bw5j9f5NvJ66deBYGjmNh8BnbAj5A4QGP7owfG/YL4XwO4/NPotvfAQAA//8DAFBL&#10;AwQUAAYACAAAACEA1/+zf9wAAAADAQAADwAAAGRycy9kb3ducmV2LnhtbEyPQWvCQBCF74X+h2UK&#10;vdVNqrWSZiMibU8iVAvibcyOSTA7G7JrEv+9q5f2MvB4j/e+SeeDqUVHrassK4hHEQji3OqKCwW/&#10;26+XGQjnkTXWlknBhRzMs8eHFBNte/6hbuMLEUrYJaig9L5JpHR5SQbdyDbEwTva1qAPsi2kbrEP&#10;5aaWr1E0lQYrDgslNrQsKT9tzkbBd4/9Yhx/dqvTcXnZb9/Wu1VMSj0/DYsPEJ4G/xeGG35Ahyww&#10;HeyZtRO1gvCIv9/gzaYTEAcF4/cJyCyV/9mzKwAAAP//AwBQSwECLQAUAAYACAAAACEAtoM4kv4A&#10;AADhAQAAEwAAAAAAAAAAAAAAAAAAAAAAW0NvbnRlbnRfVHlwZXNdLnhtbFBLAQItABQABgAIAAAA&#10;IQA4/SH/1gAAAJQBAAALAAAAAAAAAAAAAAAAAC8BAABfcmVscy8ucmVsc1BLAQItABQABgAIAAAA&#10;IQDDfzCBGQQAAFoNAAAOAAAAAAAAAAAAAAAAAC4CAABkcnMvZTJvRG9jLnhtbFBLAQItABQABgAI&#10;AAAAIQDX/7N/3AAAAAMBAAAPAAAAAAAAAAAAAAAAAHMGAABkcnMvZG93bnJldi54bWxQSwUGAAAA&#10;AAQABADzAAAAfAcAAAAA&#10;">
              <v:roundrect id="AutoShape 6" o:spid="_x0000_s4100"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R5sQA&#10;AADbAAAADwAAAGRycy9kb3ducmV2LnhtbESPQWvCQBSE7wX/w/IK3uqmEUWiqwTBIj0Ipj14fGSf&#10;2cXs25DdmrS/vlsoeBxm5htmsxtdK+7UB+tZwessA0Fce225UfD5cXhZgQgRWWPrmRR8U4DddvK0&#10;wUL7gc90r2IjEoRDgQpMjF0hZagNOQwz3xEn7+p7hzHJvpG6xyHBXSvzLFtKh5bTgsGO9obqW/Xl&#10;FNzsyWRuOFTzRTkv7WV4Dz9vS6Wmz2O5BhFpjI/wf/uoFeQ5/H1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UebEAAAA2wAAAA8AAAAAAAAAAAAAAAAAmAIAAGRycy9k&#10;b3ducmV2LnhtbFBLBQYAAAAABAAEAPUAAACJAwAAAAA=&#10;" strokecolor="#9588a5 [2414]"/>
              <v:roundrect id="AutoShape 7" o:spid="_x0000_s4099"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pcQA&#10;AADbAAAADwAAAGRycy9kb3ducmV2LnhtbESPQU8CMRSE7yT+h+aZcIOuGNSsFKJGEi8eALm/bJ/b&#10;le3rpn0si7+emphwnMzMN5nFavCt6immJrCBu2kBirgKtuHawNduPXkClQTZYhuYDJwpwWp5M1pg&#10;acOJN9RvpVYZwqlEA06kK7VOlSOPaRo64ux9h+hRsoy1thFPGe5bPSuKB+2x4bzgsKM3R9Vhe/QG&#10;Ho+/Uvebn9d58X4O8SD7z8rtjRnfDi/PoIQGuYb/2x/WwOwe/r7k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4qXEAAAA2wAAAA8AAAAAAAAAAAAAAAAAmAIAAGRycy9k&#10;b3ducmV2LnhtbFBLBQYAAAAABAAEAPUAAACJAwAAAAA=&#10;" fillcolor="#9588a5 [2414]" strokecolor="#9588a5 [2414]"/>
              <v:shapetype id="_x0000_t202" coordsize="21600,21600" o:spt="202" path="m,l,21600r21600,l21600,xe">
                <v:stroke joinstyle="miter"/>
                <v:path gradientshapeok="t" o:connecttype="rect"/>
              </v:shapetype>
              <v:shape id="Text Box 8" o:spid="_x0000_s4098"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6B34AB" w:rsidRDefault="004F065D">
                      <w:pPr>
                        <w:jc w:val="center"/>
                        <w:rPr>
                          <w:color w:val="FFFFFF" w:themeColor="background1"/>
                        </w:rPr>
                      </w:pPr>
                      <w:r w:rsidRPr="004F065D">
                        <w:fldChar w:fldCharType="begin"/>
                      </w:r>
                      <w:r w:rsidR="006B34AB">
                        <w:instrText xml:space="preserve"> PAGE    \* MERGEFORMAT </w:instrText>
                      </w:r>
                      <w:r w:rsidRPr="004F065D">
                        <w:fldChar w:fldCharType="separate"/>
                      </w:r>
                      <w:r w:rsidR="003C2FB9" w:rsidRPr="003C2FB9">
                        <w:rPr>
                          <w:b/>
                          <w:noProof/>
                          <w:color w:val="FFFFFF" w:themeColor="background1"/>
                        </w:rPr>
                        <w:t>4</w:t>
                      </w:r>
                      <w:r>
                        <w:rPr>
                          <w:b/>
                          <w:noProof/>
                          <w:color w:val="FFFFFF" w:themeColor="background1"/>
                        </w:rPr>
                        <w:fldChar w:fldCharType="end"/>
                      </w:r>
                    </w:p>
                  </w:txbxContent>
                </v:textbox>
              </v:shape>
              <w10:wrap type="none"/>
              <w10:anchorlock/>
            </v:group>
          </w:pict>
        </w:r>
      </w:p>
    </w:sdtContent>
  </w:sdt>
  <w:p w:rsidR="006B34AB" w:rsidRDefault="006B34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4AB" w:rsidRDefault="006B34AB">
    <w:pPr>
      <w:pStyle w:val="Footer"/>
      <w:jc w:val="center"/>
    </w:pPr>
  </w:p>
  <w:p w:rsidR="006B34AB" w:rsidRDefault="006B34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A46" w:rsidRDefault="008A4A46" w:rsidP="00701E81">
      <w:pPr>
        <w:spacing w:after="0" w:line="240" w:lineRule="auto"/>
      </w:pPr>
      <w:r>
        <w:separator/>
      </w:r>
    </w:p>
  </w:footnote>
  <w:footnote w:type="continuationSeparator" w:id="1">
    <w:p w:rsidR="008A4A46" w:rsidRDefault="008A4A46" w:rsidP="00701E81">
      <w:pPr>
        <w:spacing w:after="0" w:line="240" w:lineRule="auto"/>
      </w:pPr>
      <w:r>
        <w:continuationSeparator/>
      </w:r>
    </w:p>
  </w:footnote>
  <w:footnote w:id="2">
    <w:p w:rsidR="006B34AB" w:rsidRDefault="006B34AB" w:rsidP="002E4C6C">
      <w:pPr>
        <w:pStyle w:val="FootnoteText"/>
      </w:pPr>
      <w:r>
        <w:rPr>
          <w:rStyle w:val="FootnoteReference"/>
        </w:rPr>
        <w:footnoteRef/>
      </w:r>
      <w:r>
        <w:t xml:space="preserve"> Për vlerësimin dhe klasifikimin e kandidatëve të vitit të tretë shih tabelën që shoqëron këtë material.</w:t>
      </w:r>
    </w:p>
  </w:footnote>
  <w:footnote w:id="3">
    <w:p w:rsidR="006B34AB" w:rsidRPr="005D0EF7" w:rsidRDefault="006B34AB" w:rsidP="002E4C6C">
      <w:pPr>
        <w:pStyle w:val="NoSpacing"/>
        <w:rPr>
          <w:sz w:val="18"/>
          <w:szCs w:val="18"/>
          <w:lang w:val="en-US"/>
        </w:rPr>
      </w:pPr>
      <w:r w:rsidRPr="00F53427">
        <w:rPr>
          <w:rStyle w:val="FootnoteReference"/>
          <w:sz w:val="20"/>
          <w:szCs w:val="20"/>
        </w:rPr>
        <w:footnoteRef/>
      </w:r>
      <w:r w:rsidRPr="005D0EF7">
        <w:rPr>
          <w:sz w:val="18"/>
          <w:szCs w:val="18"/>
        </w:rPr>
        <w:t>Kjo skemë u miratua</w:t>
      </w:r>
      <w:r w:rsidRPr="005D0EF7">
        <w:rPr>
          <w:sz w:val="18"/>
          <w:szCs w:val="18"/>
          <w:lang w:val="en-US"/>
        </w:rPr>
        <w:t xml:space="preserve"> në mbledhjen e Këshillit Pedagogjik, me </w:t>
      </w:r>
      <w:r w:rsidRPr="005D0EF7">
        <w:rPr>
          <w:sz w:val="18"/>
          <w:szCs w:val="18"/>
        </w:rPr>
        <w:t>nr.prot.43/1,</w:t>
      </w:r>
      <w:r w:rsidRPr="005D0EF7">
        <w:rPr>
          <w:sz w:val="18"/>
          <w:szCs w:val="18"/>
          <w:lang w:val="en-US"/>
        </w:rPr>
        <w:t xml:space="preserve"> dt.</w:t>
      </w:r>
      <w:r w:rsidRPr="005D0EF7">
        <w:rPr>
          <w:sz w:val="18"/>
          <w:szCs w:val="18"/>
        </w:rPr>
        <w:t xml:space="preserve"> 05.07.2010, ku u </w:t>
      </w:r>
      <w:r w:rsidRPr="005D0EF7">
        <w:rPr>
          <w:sz w:val="18"/>
          <w:szCs w:val="18"/>
          <w:lang w:val="en-US"/>
        </w:rPr>
        <w:t xml:space="preserve">ndryshuan grupimet e lëndëve, si dhe skema e vlerësimit përfundimtar të kandidatëve për magjistratë e cila hyn në fuqi në vitin akademik 2010 – 2011 për vitin e parë. </w:t>
      </w:r>
    </w:p>
    <w:p w:rsidR="006B34AB" w:rsidRPr="00691D71" w:rsidRDefault="006B34AB" w:rsidP="002E4C6C">
      <w:pPr>
        <w:pStyle w:val="NoSpacing"/>
        <w:rPr>
          <w:sz w:val="20"/>
          <w:szCs w:val="20"/>
          <w:lang w:val="en-US"/>
        </w:rPr>
      </w:pPr>
    </w:p>
  </w:footnote>
  <w:footnote w:id="4">
    <w:p w:rsidR="006B34AB" w:rsidRPr="00CF0DD7" w:rsidRDefault="006B34AB" w:rsidP="00CA7CDB">
      <w:pPr>
        <w:pStyle w:val="FootnoteText"/>
        <w:rPr>
          <w:lang w:val="en-US"/>
        </w:rPr>
      </w:pPr>
      <w:r>
        <w:rPr>
          <w:rStyle w:val="FootnoteReference"/>
        </w:rPr>
        <w:footnoteRef/>
      </w:r>
      <w:r w:rsidRPr="006817D1">
        <w:rPr>
          <w:rFonts w:ascii="Bookman Old Style" w:hAnsi="Bookman Old Style"/>
          <w:lang w:val="en-US"/>
        </w:rPr>
        <w:t>Të gjitha aktivitetet e zhvilluara me partnerët ndërkombëtarë janë të përfshira në Aneksin 3 të këtij raporti</w:t>
      </w:r>
      <w:r>
        <w:rPr>
          <w:lang w:val="en-US"/>
        </w:rPr>
        <w:t>.</w:t>
      </w:r>
    </w:p>
  </w:footnote>
  <w:footnote w:id="5">
    <w:p w:rsidR="006B34AB" w:rsidRPr="00534A0D" w:rsidRDefault="006B34AB" w:rsidP="00CA7CDB">
      <w:pPr>
        <w:pStyle w:val="FootnoteText"/>
        <w:jc w:val="both"/>
        <w:rPr>
          <w:rFonts w:ascii="Palatino Linotype" w:hAnsi="Palatino Linotype"/>
          <w:sz w:val="16"/>
          <w:szCs w:val="16"/>
        </w:rPr>
      </w:pPr>
      <w:r w:rsidRPr="00534A0D">
        <w:rPr>
          <w:rStyle w:val="FootnoteReference"/>
          <w:rFonts w:ascii="Palatino Linotype" w:hAnsi="Palatino Linotype"/>
          <w:sz w:val="16"/>
          <w:szCs w:val="16"/>
        </w:rPr>
        <w:footnoteRef/>
      </w:r>
      <w:r>
        <w:rPr>
          <w:rFonts w:ascii="Palatino Linotype" w:hAnsi="Palatino Linotype"/>
          <w:sz w:val="16"/>
          <w:szCs w:val="16"/>
        </w:rPr>
        <w:t>N</w:t>
      </w:r>
      <w:r w:rsidRPr="00534A0D">
        <w:rPr>
          <w:rFonts w:ascii="Palatino Linotype" w:eastAsia="Times New Roman" w:hAnsi="Palatino Linotype"/>
          <w:sz w:val="16"/>
          <w:szCs w:val="16"/>
        </w:rPr>
        <w:t>jë kopje të C.V të ty</w:t>
      </w:r>
      <w:r>
        <w:rPr>
          <w:rFonts w:ascii="Palatino Linotype" w:eastAsia="Times New Roman" w:hAnsi="Palatino Linotype"/>
          <w:sz w:val="16"/>
          <w:szCs w:val="16"/>
        </w:rPr>
        <w:t xml:space="preserve">re ose të kolegut të sygjeruar </w:t>
      </w:r>
      <w:r w:rsidRPr="00534A0D">
        <w:rPr>
          <w:rFonts w:ascii="Palatino Linotype" w:eastAsia="Times New Roman" w:hAnsi="Palatino Linotype"/>
          <w:sz w:val="16"/>
          <w:szCs w:val="16"/>
        </w:rPr>
        <w:t>duke specifikuar eksperiencën si gjyqtar/prokuror dhe trajnimet e marra, shkrimet akademike në fushë; Titullin e temës, çështjes apo nënçështjes që mendojnë të trajtojnë; Metodologjinë e trajnimit që do të përdorin (p.sh duke përdorur raste problemore e hipotetike, diskutime në grupe të vogla, demonstrime, simulime, pyetësorë paraprakë për të testuar njohuritë e auditorit, mjetet audiovizive, etj.); Një përshkrim (të shkurtër) problemor të çështjeve të kursit trajnues apo çështjes që kanë zgjedhur (mini modul).</w:t>
      </w:r>
    </w:p>
  </w:footnote>
  <w:footnote w:id="6">
    <w:p w:rsidR="006B34AB" w:rsidRPr="00643F87" w:rsidRDefault="006B34AB" w:rsidP="00CA7CDB">
      <w:pPr>
        <w:pStyle w:val="FootnoteText"/>
        <w:rPr>
          <w:rFonts w:ascii="Bookman Old Style" w:hAnsi="Bookman Old Style"/>
          <w:sz w:val="18"/>
          <w:szCs w:val="18"/>
        </w:rPr>
      </w:pPr>
      <w:r w:rsidRPr="00643F87">
        <w:rPr>
          <w:rStyle w:val="FootnoteReference"/>
          <w:rFonts w:ascii="Bookman Old Style" w:hAnsi="Bookman Old Style"/>
          <w:sz w:val="18"/>
          <w:szCs w:val="18"/>
        </w:rPr>
        <w:footnoteRef/>
      </w:r>
      <w:r w:rsidRPr="00643F87">
        <w:rPr>
          <w:rFonts w:ascii="Bookman Old Style" w:hAnsi="Bookman Old Style"/>
          <w:sz w:val="18"/>
          <w:szCs w:val="18"/>
        </w:rPr>
        <w:t xml:space="preserve"> Vini re marrëveshjen me lehtësuesit dhe ekspertët për sa më sipër.</w:t>
      </w:r>
    </w:p>
  </w:footnote>
  <w:footnote w:id="7">
    <w:p w:rsidR="006B34AB" w:rsidRPr="00643F87" w:rsidRDefault="006B34AB" w:rsidP="00CA7CDB">
      <w:pPr>
        <w:pStyle w:val="FootnoteText"/>
        <w:rPr>
          <w:rFonts w:ascii="Bookman Old Style" w:hAnsi="Bookman Old Style"/>
          <w:sz w:val="18"/>
          <w:szCs w:val="18"/>
        </w:rPr>
      </w:pPr>
      <w:r w:rsidRPr="00643F87">
        <w:rPr>
          <w:rStyle w:val="FootnoteReference"/>
          <w:rFonts w:ascii="Bookman Old Style" w:hAnsi="Bookman Old Style"/>
          <w:sz w:val="18"/>
          <w:szCs w:val="18"/>
        </w:rPr>
        <w:footnoteRef/>
      </w:r>
      <w:r w:rsidRPr="00643F87">
        <w:rPr>
          <w:rFonts w:ascii="Bookman Old Style" w:hAnsi="Bookman Old Style"/>
          <w:sz w:val="18"/>
          <w:szCs w:val="18"/>
        </w:rPr>
        <w:t xml:space="preserve"> Vini re marrëveshjen me lehtësuesit dhe ekspertët për sa më sipër.</w:t>
      </w:r>
    </w:p>
  </w:footnote>
  <w:footnote w:id="8">
    <w:p w:rsidR="006B34AB" w:rsidRPr="00C65280" w:rsidRDefault="006B34AB" w:rsidP="00BD38C6">
      <w:pPr>
        <w:pStyle w:val="FootnoteText"/>
        <w:rPr>
          <w:rFonts w:ascii="Palatino Linotype" w:hAnsi="Palatino Linotype"/>
          <w:sz w:val="16"/>
          <w:szCs w:val="16"/>
          <w:lang w:val="en-US"/>
        </w:rPr>
      </w:pPr>
      <w:r w:rsidRPr="00C65280">
        <w:rPr>
          <w:rStyle w:val="FootnoteReference"/>
          <w:rFonts w:ascii="Palatino Linotype" w:hAnsi="Palatino Linotype"/>
          <w:sz w:val="16"/>
          <w:szCs w:val="16"/>
        </w:rPr>
        <w:footnoteRef/>
      </w:r>
      <w:r w:rsidRPr="00C65280">
        <w:rPr>
          <w:rFonts w:ascii="Palatino Linotype" w:hAnsi="Palatino Linotype"/>
          <w:sz w:val="16"/>
          <w:szCs w:val="16"/>
          <w:lang w:val="en-US"/>
        </w:rPr>
        <w:t>Datat janë fleksibël në varësi të mundësisë/pamundësisë së ekspertëve apo arsyeve objektive  të pa parashikuara që mund të lindin gjatë zbatimit të këtij plani aktivitetesh.</w:t>
      </w:r>
    </w:p>
  </w:footnote>
  <w:footnote w:id="9">
    <w:p w:rsidR="006B34AB" w:rsidRPr="00B42C78" w:rsidRDefault="006B34AB" w:rsidP="00BD38C6">
      <w:pPr>
        <w:pStyle w:val="FootnoteText"/>
        <w:rPr>
          <w:rFonts w:ascii="Palatino Linotype" w:hAnsi="Palatino Linotype"/>
          <w:sz w:val="16"/>
          <w:szCs w:val="16"/>
          <w:lang w:val="en-US"/>
        </w:rPr>
      </w:pPr>
      <w:r w:rsidRPr="00B42C78">
        <w:rPr>
          <w:rStyle w:val="FootnoteReference"/>
          <w:rFonts w:ascii="Palatino Linotype" w:hAnsi="Palatino Linotype"/>
          <w:sz w:val="16"/>
          <w:szCs w:val="16"/>
        </w:rPr>
        <w:footnoteRef/>
      </w:r>
      <w:r>
        <w:rPr>
          <w:rFonts w:ascii="Palatino Linotype" w:hAnsi="Palatino Linotype"/>
          <w:sz w:val="16"/>
          <w:szCs w:val="16"/>
          <w:lang w:val="en-US"/>
        </w:rPr>
        <w:t>11 dhjetor 2015.</w:t>
      </w:r>
    </w:p>
  </w:footnote>
  <w:footnote w:id="10">
    <w:p w:rsidR="006B34AB" w:rsidRPr="00666B5B" w:rsidRDefault="006B34AB" w:rsidP="00824B14">
      <w:pPr>
        <w:pStyle w:val="FootnoteText"/>
        <w:jc w:val="both"/>
        <w:rPr>
          <w:lang w:val="en-US"/>
        </w:rPr>
      </w:pPr>
      <w:r>
        <w:rPr>
          <w:rStyle w:val="FootnoteReference"/>
        </w:rPr>
        <w:footnoteRef/>
      </w:r>
      <w:r w:rsidRPr="00540A18">
        <w:rPr>
          <w:rFonts w:ascii="Palatino Linotype" w:hAnsi="Palatino Linotype"/>
          <w:sz w:val="18"/>
          <w:szCs w:val="18"/>
          <w:lang w:val="en-US"/>
        </w:rPr>
        <w:t>Të gjitha trajnimet do të kenë në modul të përfshira detyrimisht aspekte të</w:t>
      </w:r>
      <w:r>
        <w:rPr>
          <w:rFonts w:ascii="Palatino Linotype" w:hAnsi="Palatino Linotype"/>
          <w:sz w:val="18"/>
          <w:szCs w:val="18"/>
          <w:lang w:val="en-US"/>
        </w:rPr>
        <w:t xml:space="preserve"> vendimeve të GJEDNj lidhur me ç</w:t>
      </w:r>
      <w:r w:rsidRPr="00540A18">
        <w:rPr>
          <w:rFonts w:ascii="Palatino Linotype" w:hAnsi="Palatino Linotype"/>
          <w:sz w:val="18"/>
          <w:szCs w:val="18"/>
          <w:lang w:val="en-US"/>
        </w:rPr>
        <w:t>ështjen dhe të GJED dhe të standardeve ndërkombëtare si dhe të shkrimit dhe arsyetimit ligjor. Detyrimet që burojnë nga MSA dhe proceset e integrimit do të jenë detyrimisht pjesë e moduleve gjithashtu.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65" w:type="pct"/>
      <w:tblInd w:w="-438"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3"/>
      <w:gridCol w:w="2096"/>
    </w:tblGrid>
    <w:tr w:rsidR="006B34AB" w:rsidTr="008819BF">
      <w:trPr>
        <w:trHeight w:val="277"/>
      </w:trPr>
      <w:sdt>
        <w:sdtPr>
          <w:rPr>
            <w:rFonts w:asciiTheme="majorHAnsi" w:eastAsiaTheme="majorEastAsia" w:hAnsiTheme="majorHAnsi" w:cstheme="majorBidi"/>
            <w:color w:val="7D4D98" w:themeColor="accent6" w:themeShade="BF"/>
            <w:sz w:val="32"/>
            <w:szCs w:val="36"/>
          </w:rPr>
          <w:alias w:val="Title"/>
          <w:id w:val="77761602"/>
          <w:placeholder>
            <w:docPart w:val="2A7089EA398D4ED39274B7626C78F483"/>
          </w:placeholder>
          <w:dataBinding w:prefixMappings="xmlns:ns0='http://schemas.openxmlformats.org/package/2006/metadata/core-properties' xmlns:ns1='http://purl.org/dc/elements/1.1/'" w:xpath="/ns0:coreProperties[1]/ns1:title[1]" w:storeItemID="{6C3C8BC8-F283-45AE-878A-BAB7291924A1}"/>
          <w:text/>
        </w:sdtPr>
        <w:sdtContent>
          <w:tc>
            <w:tcPr>
              <w:tcW w:w="9254" w:type="dxa"/>
            </w:tcPr>
            <w:p w:rsidR="006B34AB" w:rsidRDefault="006B34AB" w:rsidP="00664D4F">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color w:val="7D4D98" w:themeColor="accent6" w:themeShade="BF"/>
                  <w:sz w:val="32"/>
                  <w:szCs w:val="36"/>
                </w:rPr>
                <w:t>Raporti Akademik</w:t>
              </w:r>
            </w:p>
          </w:tc>
        </w:sdtContent>
      </w:sdt>
      <w:sdt>
        <w:sdtPr>
          <w:rPr>
            <w:rFonts w:asciiTheme="majorHAnsi" w:eastAsiaTheme="majorEastAsia" w:hAnsiTheme="majorHAnsi" w:cstheme="majorBidi"/>
            <w:b/>
            <w:bCs/>
            <w:color w:val="7D4D98" w:themeColor="accent6" w:themeShade="BF"/>
            <w:sz w:val="28"/>
            <w:szCs w:val="36"/>
          </w:rPr>
          <w:alias w:val="Year"/>
          <w:id w:val="77761609"/>
          <w:placeholder>
            <w:docPart w:val="D170A69763184755B334B631A9FB3854"/>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2096" w:type="dxa"/>
            </w:tcPr>
            <w:p w:rsidR="006B34AB" w:rsidRPr="00664D4F" w:rsidRDefault="006B34AB" w:rsidP="00664D4F">
              <w:pPr>
                <w:pStyle w:val="Header"/>
                <w:rPr>
                  <w:rFonts w:asciiTheme="majorHAnsi" w:eastAsiaTheme="majorEastAsia" w:hAnsiTheme="majorHAnsi" w:cstheme="majorBidi"/>
                  <w:b/>
                  <w:bCs/>
                  <w:color w:val="7D4D98" w:themeColor="accent6" w:themeShade="BF"/>
                  <w:sz w:val="36"/>
                  <w:szCs w:val="36"/>
                </w:rPr>
              </w:pPr>
              <w:r w:rsidRPr="00664D4F">
                <w:rPr>
                  <w:rFonts w:asciiTheme="majorHAnsi" w:eastAsiaTheme="majorEastAsia" w:hAnsiTheme="majorHAnsi" w:cstheme="majorBidi"/>
                  <w:b/>
                  <w:bCs/>
                  <w:color w:val="7D4D98" w:themeColor="accent6" w:themeShade="BF"/>
                  <w:sz w:val="28"/>
                  <w:szCs w:val="36"/>
                </w:rPr>
                <w:t>2015-2016</w:t>
              </w:r>
            </w:p>
          </w:tc>
        </w:sdtContent>
      </w:sdt>
    </w:tr>
  </w:tbl>
  <w:p w:rsidR="006B34AB" w:rsidRDefault="006B34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1F88"/>
    <w:multiLevelType w:val="hybridMultilevel"/>
    <w:tmpl w:val="48EE266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nsid w:val="00212FAA"/>
    <w:multiLevelType w:val="hybridMultilevel"/>
    <w:tmpl w:val="6D48D0B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
    <w:nsid w:val="03A467F9"/>
    <w:multiLevelType w:val="hybridMultilevel"/>
    <w:tmpl w:val="FF6EC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1531C"/>
    <w:multiLevelType w:val="hybridMultilevel"/>
    <w:tmpl w:val="3B7C5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8173CB"/>
    <w:multiLevelType w:val="hybridMultilevel"/>
    <w:tmpl w:val="0ED2FBFC"/>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286349"/>
    <w:multiLevelType w:val="hybridMultilevel"/>
    <w:tmpl w:val="67AC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7703E6"/>
    <w:multiLevelType w:val="hybridMultilevel"/>
    <w:tmpl w:val="5F62A59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nsid w:val="08183186"/>
    <w:multiLevelType w:val="hybridMultilevel"/>
    <w:tmpl w:val="05305F42"/>
    <w:lvl w:ilvl="0" w:tplc="FFDC5F8C">
      <w:start w:val="1"/>
      <w:numFmt w:val="decimal"/>
      <w:lvlText w:val="%1."/>
      <w:lvlJc w:val="left"/>
      <w:pPr>
        <w:ind w:left="720" w:hanging="360"/>
      </w:pPr>
      <w:rPr>
        <w:rFonts w:ascii="Bookman Old Style" w:eastAsia="Calibri" w:hAnsi="Bookman Old Style"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8A424AD"/>
    <w:multiLevelType w:val="hybridMultilevel"/>
    <w:tmpl w:val="4F6EC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C805CF"/>
    <w:multiLevelType w:val="hybridMultilevel"/>
    <w:tmpl w:val="FA6E02B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nsid w:val="09B45D88"/>
    <w:multiLevelType w:val="hybridMultilevel"/>
    <w:tmpl w:val="D1F07BF2"/>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1">
    <w:nsid w:val="09F51CF8"/>
    <w:multiLevelType w:val="hybridMultilevel"/>
    <w:tmpl w:val="28D0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B80E21"/>
    <w:multiLevelType w:val="hybridMultilevel"/>
    <w:tmpl w:val="9A2063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FF0756"/>
    <w:multiLevelType w:val="hybridMultilevel"/>
    <w:tmpl w:val="1DD8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794883"/>
    <w:multiLevelType w:val="hybridMultilevel"/>
    <w:tmpl w:val="0704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AB659F"/>
    <w:multiLevelType w:val="hybridMultilevel"/>
    <w:tmpl w:val="87D43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6921EA7"/>
    <w:multiLevelType w:val="hybridMultilevel"/>
    <w:tmpl w:val="0F90877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nsid w:val="16C0034F"/>
    <w:multiLevelType w:val="hybridMultilevel"/>
    <w:tmpl w:val="36A2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165487"/>
    <w:multiLevelType w:val="hybridMultilevel"/>
    <w:tmpl w:val="0F383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127A92"/>
    <w:multiLevelType w:val="multilevel"/>
    <w:tmpl w:val="EF764634"/>
    <w:lvl w:ilvl="0">
      <w:start w:val="1"/>
      <w:numFmt w:val="decimal"/>
      <w:lvlText w:val="%1"/>
      <w:lvlJc w:val="left"/>
      <w:pPr>
        <w:tabs>
          <w:tab w:val="num" w:pos="930"/>
        </w:tabs>
        <w:ind w:left="930" w:hanging="930"/>
      </w:pPr>
      <w:rPr>
        <w:rFonts w:hint="default"/>
      </w:rPr>
    </w:lvl>
    <w:lvl w:ilvl="1">
      <w:start w:val="1"/>
      <w:numFmt w:val="decimal"/>
      <w:lvlText w:val="%1.%2"/>
      <w:lvlJc w:val="left"/>
      <w:pPr>
        <w:tabs>
          <w:tab w:val="num" w:pos="930"/>
        </w:tabs>
        <w:ind w:left="930" w:hanging="930"/>
      </w:pPr>
      <w:rPr>
        <w:rFonts w:hint="default"/>
      </w:rPr>
    </w:lvl>
    <w:lvl w:ilvl="2">
      <w:start w:val="1"/>
      <w:numFmt w:val="decimal"/>
      <w:lvlText w:val="%1.%2.%3"/>
      <w:lvlJc w:val="left"/>
      <w:pPr>
        <w:tabs>
          <w:tab w:val="num" w:pos="930"/>
        </w:tabs>
        <w:ind w:left="930" w:hanging="93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nsid w:val="1A2E10A7"/>
    <w:multiLevelType w:val="hybridMultilevel"/>
    <w:tmpl w:val="F2F2D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250B0E"/>
    <w:multiLevelType w:val="hybridMultilevel"/>
    <w:tmpl w:val="B856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9D0686"/>
    <w:multiLevelType w:val="hybridMultilevel"/>
    <w:tmpl w:val="C958D6E6"/>
    <w:lvl w:ilvl="0" w:tplc="2B5A9E4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FE673C0"/>
    <w:multiLevelType w:val="hybridMultilevel"/>
    <w:tmpl w:val="E730A7E4"/>
    <w:lvl w:ilvl="0" w:tplc="A8EE22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2D79C9"/>
    <w:multiLevelType w:val="hybridMultilevel"/>
    <w:tmpl w:val="BCB4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6C740F"/>
    <w:multiLevelType w:val="hybridMultilevel"/>
    <w:tmpl w:val="2A486980"/>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19F00A0"/>
    <w:multiLevelType w:val="hybridMultilevel"/>
    <w:tmpl w:val="75443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1C4055A"/>
    <w:multiLevelType w:val="hybridMultilevel"/>
    <w:tmpl w:val="7256B2C6"/>
    <w:lvl w:ilvl="0" w:tplc="0409000F">
      <w:start w:val="1"/>
      <w:numFmt w:val="decimal"/>
      <w:lvlText w:val="%1."/>
      <w:lvlJc w:val="left"/>
      <w:pPr>
        <w:ind w:left="540" w:hanging="360"/>
      </w:pPr>
    </w:lvl>
    <w:lvl w:ilvl="1" w:tplc="08090001">
      <w:start w:val="1"/>
      <w:numFmt w:val="bullet"/>
      <w:lvlText w:val=""/>
      <w:lvlJc w:val="left"/>
      <w:pPr>
        <w:tabs>
          <w:tab w:val="num" w:pos="733"/>
        </w:tabs>
        <w:ind w:left="733"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CF476E"/>
    <w:multiLevelType w:val="hybridMultilevel"/>
    <w:tmpl w:val="35182E44"/>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9">
    <w:nsid w:val="21E035D7"/>
    <w:multiLevelType w:val="hybridMultilevel"/>
    <w:tmpl w:val="75CCA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670BFB"/>
    <w:multiLevelType w:val="hybridMultilevel"/>
    <w:tmpl w:val="773A4678"/>
    <w:lvl w:ilvl="0" w:tplc="A12A56E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3510478"/>
    <w:multiLevelType w:val="hybridMultilevel"/>
    <w:tmpl w:val="6024D600"/>
    <w:lvl w:ilvl="0" w:tplc="658066C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237D2B3B"/>
    <w:multiLevelType w:val="hybridMultilevel"/>
    <w:tmpl w:val="3FFC2B4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3">
    <w:nsid w:val="23C14B74"/>
    <w:multiLevelType w:val="hybridMultilevel"/>
    <w:tmpl w:val="D9E27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40D303D"/>
    <w:multiLevelType w:val="hybridMultilevel"/>
    <w:tmpl w:val="8462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4657819"/>
    <w:multiLevelType w:val="hybridMultilevel"/>
    <w:tmpl w:val="573C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5449EF"/>
    <w:multiLevelType w:val="hybridMultilevel"/>
    <w:tmpl w:val="3676B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864ABA"/>
    <w:multiLevelType w:val="hybridMultilevel"/>
    <w:tmpl w:val="1426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6467829"/>
    <w:multiLevelType w:val="hybridMultilevel"/>
    <w:tmpl w:val="439E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B6B58EA"/>
    <w:multiLevelType w:val="hybridMultilevel"/>
    <w:tmpl w:val="3A6EDD6E"/>
    <w:lvl w:ilvl="0" w:tplc="0809000D">
      <w:start w:val="1"/>
      <w:numFmt w:val="bullet"/>
      <w:lvlText w:val=""/>
      <w:lvlJc w:val="left"/>
      <w:pPr>
        <w:ind w:left="915" w:hanging="360"/>
      </w:pPr>
      <w:rPr>
        <w:rFonts w:ascii="Wingdings" w:hAnsi="Wingdings"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40">
    <w:nsid w:val="2C614905"/>
    <w:multiLevelType w:val="hybridMultilevel"/>
    <w:tmpl w:val="1D324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D53007D"/>
    <w:multiLevelType w:val="multilevel"/>
    <w:tmpl w:val="C55CDDB2"/>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2DF12117"/>
    <w:multiLevelType w:val="hybridMultilevel"/>
    <w:tmpl w:val="38F8F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F4A60ED"/>
    <w:multiLevelType w:val="hybridMultilevel"/>
    <w:tmpl w:val="73E4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1430A7F"/>
    <w:multiLevelType w:val="hybridMultilevel"/>
    <w:tmpl w:val="98DA564A"/>
    <w:lvl w:ilvl="0" w:tplc="0809000D">
      <w:start w:val="1"/>
      <w:numFmt w:val="bullet"/>
      <w:lvlText w:val=""/>
      <w:lvlJc w:val="left"/>
      <w:pPr>
        <w:ind w:left="990" w:hanging="360"/>
      </w:pPr>
      <w:rPr>
        <w:rFonts w:ascii="Wingdings" w:hAnsi="Wingdings"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45">
    <w:nsid w:val="32552DFA"/>
    <w:multiLevelType w:val="hybridMultilevel"/>
    <w:tmpl w:val="FEF21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B226E9"/>
    <w:multiLevelType w:val="hybridMultilevel"/>
    <w:tmpl w:val="DB8293A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7">
    <w:nsid w:val="331F5D7F"/>
    <w:multiLevelType w:val="hybridMultilevel"/>
    <w:tmpl w:val="C5E8088C"/>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31F74F7"/>
    <w:multiLevelType w:val="hybridMultilevel"/>
    <w:tmpl w:val="12883D1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9">
    <w:nsid w:val="3392321A"/>
    <w:multiLevelType w:val="hybridMultilevel"/>
    <w:tmpl w:val="BBBC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B05D32"/>
    <w:multiLevelType w:val="hybridMultilevel"/>
    <w:tmpl w:val="0B806B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9F70DC"/>
    <w:multiLevelType w:val="hybridMultilevel"/>
    <w:tmpl w:val="BF4C4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AF34C49"/>
    <w:multiLevelType w:val="hybridMultilevel"/>
    <w:tmpl w:val="80441BA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B654E6F"/>
    <w:multiLevelType w:val="hybridMultilevel"/>
    <w:tmpl w:val="851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B810392"/>
    <w:multiLevelType w:val="hybridMultilevel"/>
    <w:tmpl w:val="C5E8088C"/>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D5D59B4"/>
    <w:multiLevelType w:val="hybridMultilevel"/>
    <w:tmpl w:val="1BA8794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6">
    <w:nsid w:val="3E4C299F"/>
    <w:multiLevelType w:val="hybridMultilevel"/>
    <w:tmpl w:val="ED801124"/>
    <w:lvl w:ilvl="0" w:tplc="F95CDE50">
      <w:start w:val="1"/>
      <w:numFmt w:val="bullet"/>
      <w:lvlText w:val=""/>
      <w:lvlJc w:val="left"/>
      <w:pPr>
        <w:ind w:left="720" w:hanging="360"/>
      </w:pPr>
      <w:rPr>
        <w:rFonts w:ascii="Wingdings" w:hAnsi="Wingdings" w:hint="default"/>
        <w:b/>
      </w:rPr>
    </w:lvl>
    <w:lvl w:ilvl="1" w:tplc="04090019">
      <w:start w:val="1"/>
      <w:numFmt w:val="lowerLetter"/>
      <w:lvlText w:val="%2."/>
      <w:lvlJc w:val="left"/>
      <w:pPr>
        <w:tabs>
          <w:tab w:val="num" w:pos="-3160"/>
        </w:tabs>
        <w:ind w:left="-3160" w:hanging="360"/>
      </w:pPr>
    </w:lvl>
    <w:lvl w:ilvl="2" w:tplc="0409001B" w:tentative="1">
      <w:start w:val="1"/>
      <w:numFmt w:val="lowerRoman"/>
      <w:lvlText w:val="%3."/>
      <w:lvlJc w:val="right"/>
      <w:pPr>
        <w:tabs>
          <w:tab w:val="num" w:pos="-2440"/>
        </w:tabs>
        <w:ind w:left="-2440" w:hanging="180"/>
      </w:pPr>
    </w:lvl>
    <w:lvl w:ilvl="3" w:tplc="0409000F" w:tentative="1">
      <w:start w:val="1"/>
      <w:numFmt w:val="decimal"/>
      <w:lvlText w:val="%4."/>
      <w:lvlJc w:val="left"/>
      <w:pPr>
        <w:tabs>
          <w:tab w:val="num" w:pos="-1720"/>
        </w:tabs>
        <w:ind w:left="-1720" w:hanging="360"/>
      </w:pPr>
    </w:lvl>
    <w:lvl w:ilvl="4" w:tplc="04090019" w:tentative="1">
      <w:start w:val="1"/>
      <w:numFmt w:val="lowerLetter"/>
      <w:lvlText w:val="%5."/>
      <w:lvlJc w:val="left"/>
      <w:pPr>
        <w:tabs>
          <w:tab w:val="num" w:pos="-1000"/>
        </w:tabs>
        <w:ind w:left="-1000" w:hanging="360"/>
      </w:pPr>
    </w:lvl>
    <w:lvl w:ilvl="5" w:tplc="0409001B" w:tentative="1">
      <w:start w:val="1"/>
      <w:numFmt w:val="lowerRoman"/>
      <w:lvlText w:val="%6."/>
      <w:lvlJc w:val="right"/>
      <w:pPr>
        <w:tabs>
          <w:tab w:val="num" w:pos="-280"/>
        </w:tabs>
        <w:ind w:left="-280" w:hanging="180"/>
      </w:pPr>
    </w:lvl>
    <w:lvl w:ilvl="6" w:tplc="0409000F" w:tentative="1">
      <w:start w:val="1"/>
      <w:numFmt w:val="decimal"/>
      <w:lvlText w:val="%7."/>
      <w:lvlJc w:val="left"/>
      <w:pPr>
        <w:tabs>
          <w:tab w:val="num" w:pos="440"/>
        </w:tabs>
        <w:ind w:left="440" w:hanging="360"/>
      </w:pPr>
    </w:lvl>
    <w:lvl w:ilvl="7" w:tplc="04090019" w:tentative="1">
      <w:start w:val="1"/>
      <w:numFmt w:val="lowerLetter"/>
      <w:lvlText w:val="%8."/>
      <w:lvlJc w:val="left"/>
      <w:pPr>
        <w:tabs>
          <w:tab w:val="num" w:pos="1160"/>
        </w:tabs>
        <w:ind w:left="1160" w:hanging="360"/>
      </w:pPr>
    </w:lvl>
    <w:lvl w:ilvl="8" w:tplc="0409001B" w:tentative="1">
      <w:start w:val="1"/>
      <w:numFmt w:val="lowerRoman"/>
      <w:lvlText w:val="%9."/>
      <w:lvlJc w:val="right"/>
      <w:pPr>
        <w:tabs>
          <w:tab w:val="num" w:pos="1880"/>
        </w:tabs>
        <w:ind w:left="1880" w:hanging="180"/>
      </w:pPr>
    </w:lvl>
  </w:abstractNum>
  <w:abstractNum w:abstractNumId="57">
    <w:nsid w:val="405C5233"/>
    <w:multiLevelType w:val="hybridMultilevel"/>
    <w:tmpl w:val="6F00BC8A"/>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8">
    <w:nsid w:val="411D38E0"/>
    <w:multiLevelType w:val="hybridMultilevel"/>
    <w:tmpl w:val="4E8CADA4"/>
    <w:lvl w:ilvl="0" w:tplc="F95CDE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1D54735"/>
    <w:multiLevelType w:val="hybridMultilevel"/>
    <w:tmpl w:val="64520B78"/>
    <w:lvl w:ilvl="0" w:tplc="9FD63FF8">
      <w:start w:val="1"/>
      <w:numFmt w:val="decimal"/>
      <w:lvlText w:val="%1."/>
      <w:lvlJc w:val="left"/>
      <w:pPr>
        <w:ind w:left="1152" w:hanging="360"/>
      </w:pPr>
      <w:rPr>
        <w:rFonts w:hint="default"/>
        <w:b/>
      </w:rPr>
    </w:lvl>
    <w:lvl w:ilvl="1" w:tplc="08090019">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60">
    <w:nsid w:val="452B4E07"/>
    <w:multiLevelType w:val="hybridMultilevel"/>
    <w:tmpl w:val="EF369116"/>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5D962CC"/>
    <w:multiLevelType w:val="hybridMultilevel"/>
    <w:tmpl w:val="CA48B83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2">
    <w:nsid w:val="48B75A50"/>
    <w:multiLevelType w:val="hybridMultilevel"/>
    <w:tmpl w:val="0602B6C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3">
    <w:nsid w:val="48D97DF0"/>
    <w:multiLevelType w:val="hybridMultilevel"/>
    <w:tmpl w:val="8A707DB4"/>
    <w:lvl w:ilvl="0" w:tplc="F95CDE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A6B3383"/>
    <w:multiLevelType w:val="hybridMultilevel"/>
    <w:tmpl w:val="375E677E"/>
    <w:lvl w:ilvl="0" w:tplc="0409000F">
      <w:start w:val="1"/>
      <w:numFmt w:val="decimal"/>
      <w:lvlText w:val="%1."/>
      <w:lvlJc w:val="left"/>
      <w:pPr>
        <w:ind w:left="540" w:hanging="360"/>
      </w:pPr>
    </w:lvl>
    <w:lvl w:ilvl="1" w:tplc="08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B180F21"/>
    <w:multiLevelType w:val="hybridMultilevel"/>
    <w:tmpl w:val="164A5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D8A681B"/>
    <w:multiLevelType w:val="hybridMultilevel"/>
    <w:tmpl w:val="48EA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DB448EF"/>
    <w:multiLevelType w:val="hybridMultilevel"/>
    <w:tmpl w:val="7C02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A428F1"/>
    <w:multiLevelType w:val="hybridMultilevel"/>
    <w:tmpl w:val="50E852EA"/>
    <w:lvl w:ilvl="0" w:tplc="04090001">
      <w:start w:val="1"/>
      <w:numFmt w:val="bullet"/>
      <w:lvlText w:val=""/>
      <w:lvlJc w:val="left"/>
      <w:pPr>
        <w:tabs>
          <w:tab w:val="num" w:pos="1080"/>
        </w:tabs>
        <w:ind w:left="1080" w:hanging="360"/>
      </w:pPr>
      <w:rPr>
        <w:rFonts w:ascii="Symbol" w:hAnsi="Symbol" w:hint="default"/>
      </w:rPr>
    </w:lvl>
    <w:lvl w:ilvl="1" w:tplc="73D2DF00">
      <w:start w:val="2"/>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nsid w:val="51F268F4"/>
    <w:multiLevelType w:val="hybridMultilevel"/>
    <w:tmpl w:val="35B8391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0">
    <w:nsid w:val="534F4B93"/>
    <w:multiLevelType w:val="hybridMultilevel"/>
    <w:tmpl w:val="149C2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36E6629"/>
    <w:multiLevelType w:val="hybridMultilevel"/>
    <w:tmpl w:val="17D6AFD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2">
    <w:nsid w:val="53C27970"/>
    <w:multiLevelType w:val="hybridMultilevel"/>
    <w:tmpl w:val="087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3E70900"/>
    <w:multiLevelType w:val="hybridMultilevel"/>
    <w:tmpl w:val="ED8E1BD4"/>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4494A04"/>
    <w:multiLevelType w:val="hybridMultilevel"/>
    <w:tmpl w:val="94F03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556D7E78"/>
    <w:multiLevelType w:val="hybridMultilevel"/>
    <w:tmpl w:val="1DCA10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564B5545"/>
    <w:multiLevelType w:val="hybridMultilevel"/>
    <w:tmpl w:val="1E90F45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7">
    <w:nsid w:val="56DE4332"/>
    <w:multiLevelType w:val="hybridMultilevel"/>
    <w:tmpl w:val="4C14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6F0085E"/>
    <w:multiLevelType w:val="hybridMultilevel"/>
    <w:tmpl w:val="5A3284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AF06F97"/>
    <w:multiLevelType w:val="hybridMultilevel"/>
    <w:tmpl w:val="A98E2F44"/>
    <w:lvl w:ilvl="0" w:tplc="0809000D">
      <w:start w:val="1"/>
      <w:numFmt w:val="bullet"/>
      <w:lvlText w:val=""/>
      <w:lvlJc w:val="left"/>
      <w:pPr>
        <w:ind w:left="990" w:hanging="360"/>
      </w:pPr>
      <w:rPr>
        <w:rFonts w:ascii="Wingdings" w:hAnsi="Wingdings"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80">
    <w:nsid w:val="5BDF32A9"/>
    <w:multiLevelType w:val="hybridMultilevel"/>
    <w:tmpl w:val="820A3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C1F623D"/>
    <w:multiLevelType w:val="hybridMultilevel"/>
    <w:tmpl w:val="0E7C3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E163BE4"/>
    <w:multiLevelType w:val="hybridMultilevel"/>
    <w:tmpl w:val="C65AF4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E3A1BDC"/>
    <w:multiLevelType w:val="hybridMultilevel"/>
    <w:tmpl w:val="060E99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EAA5BDC"/>
    <w:multiLevelType w:val="hybridMultilevel"/>
    <w:tmpl w:val="9FE6DBE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5">
    <w:nsid w:val="5EF06C61"/>
    <w:multiLevelType w:val="hybridMultilevel"/>
    <w:tmpl w:val="467C9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5F7C75C3"/>
    <w:multiLevelType w:val="hybridMultilevel"/>
    <w:tmpl w:val="FFBC9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10B340F"/>
    <w:multiLevelType w:val="multilevel"/>
    <w:tmpl w:val="F654885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rPr>
    </w:lvl>
    <w:lvl w:ilvl="2">
      <w:start w:val="2"/>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8">
    <w:nsid w:val="61FF4448"/>
    <w:multiLevelType w:val="hybridMultilevel"/>
    <w:tmpl w:val="99B42EA2"/>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47B7BD9"/>
    <w:multiLevelType w:val="hybridMultilevel"/>
    <w:tmpl w:val="2EA4C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4A85858"/>
    <w:multiLevelType w:val="hybridMultilevel"/>
    <w:tmpl w:val="EBC80BE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1">
    <w:nsid w:val="64D16BC1"/>
    <w:multiLevelType w:val="hybridMultilevel"/>
    <w:tmpl w:val="43B6F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4E5632C"/>
    <w:multiLevelType w:val="hybridMultilevel"/>
    <w:tmpl w:val="911C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6620694"/>
    <w:multiLevelType w:val="hybridMultilevel"/>
    <w:tmpl w:val="13C4C75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4">
    <w:nsid w:val="66F21598"/>
    <w:multiLevelType w:val="hybridMultilevel"/>
    <w:tmpl w:val="2306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7904803"/>
    <w:multiLevelType w:val="hybridMultilevel"/>
    <w:tmpl w:val="DEDE97F4"/>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679E610F"/>
    <w:multiLevelType w:val="hybridMultilevel"/>
    <w:tmpl w:val="D4927476"/>
    <w:lvl w:ilvl="0" w:tplc="51A8F098">
      <w:start w:val="1"/>
      <w:numFmt w:val="decimal"/>
      <w:lvlText w:val="%1."/>
      <w:lvlJc w:val="left"/>
      <w:pPr>
        <w:tabs>
          <w:tab w:val="num" w:pos="720"/>
        </w:tabs>
        <w:ind w:left="720" w:hanging="360"/>
      </w:pPr>
      <w:rPr>
        <w:rFonts w:ascii="Bookman Old Style" w:eastAsia="Times New Roman" w:hAnsi="Bookman Old Style" w:cs="Times New Roman"/>
      </w:rPr>
    </w:lvl>
    <w:lvl w:ilvl="1" w:tplc="A7D88078">
      <w:numFmt w:val="none"/>
      <w:lvlText w:val=""/>
      <w:lvlJc w:val="left"/>
      <w:pPr>
        <w:tabs>
          <w:tab w:val="num" w:pos="360"/>
        </w:tabs>
      </w:pPr>
    </w:lvl>
    <w:lvl w:ilvl="2" w:tplc="244E0922">
      <w:numFmt w:val="none"/>
      <w:lvlText w:val=""/>
      <w:lvlJc w:val="left"/>
      <w:pPr>
        <w:tabs>
          <w:tab w:val="num" w:pos="360"/>
        </w:tabs>
      </w:pPr>
    </w:lvl>
    <w:lvl w:ilvl="3" w:tplc="BE1A5F66">
      <w:numFmt w:val="none"/>
      <w:lvlText w:val=""/>
      <w:lvlJc w:val="left"/>
      <w:pPr>
        <w:tabs>
          <w:tab w:val="num" w:pos="360"/>
        </w:tabs>
      </w:pPr>
    </w:lvl>
    <w:lvl w:ilvl="4" w:tplc="1FEC0F7A">
      <w:numFmt w:val="none"/>
      <w:lvlText w:val=""/>
      <w:lvlJc w:val="left"/>
      <w:pPr>
        <w:tabs>
          <w:tab w:val="num" w:pos="360"/>
        </w:tabs>
      </w:pPr>
    </w:lvl>
    <w:lvl w:ilvl="5" w:tplc="11C2A8EC">
      <w:numFmt w:val="none"/>
      <w:lvlText w:val=""/>
      <w:lvlJc w:val="left"/>
      <w:pPr>
        <w:tabs>
          <w:tab w:val="num" w:pos="360"/>
        </w:tabs>
      </w:pPr>
    </w:lvl>
    <w:lvl w:ilvl="6" w:tplc="0A2A679C">
      <w:numFmt w:val="none"/>
      <w:lvlText w:val=""/>
      <w:lvlJc w:val="left"/>
      <w:pPr>
        <w:tabs>
          <w:tab w:val="num" w:pos="360"/>
        </w:tabs>
      </w:pPr>
    </w:lvl>
    <w:lvl w:ilvl="7" w:tplc="5D922D10">
      <w:numFmt w:val="none"/>
      <w:lvlText w:val=""/>
      <w:lvlJc w:val="left"/>
      <w:pPr>
        <w:tabs>
          <w:tab w:val="num" w:pos="360"/>
        </w:tabs>
      </w:pPr>
    </w:lvl>
    <w:lvl w:ilvl="8" w:tplc="333E32A6">
      <w:numFmt w:val="none"/>
      <w:lvlText w:val=""/>
      <w:lvlJc w:val="left"/>
      <w:pPr>
        <w:tabs>
          <w:tab w:val="num" w:pos="360"/>
        </w:tabs>
      </w:pPr>
    </w:lvl>
  </w:abstractNum>
  <w:abstractNum w:abstractNumId="97">
    <w:nsid w:val="69C32482"/>
    <w:multiLevelType w:val="hybridMultilevel"/>
    <w:tmpl w:val="A94E8DFE"/>
    <w:lvl w:ilvl="0" w:tplc="0809000D">
      <w:start w:val="1"/>
      <w:numFmt w:val="bullet"/>
      <w:lvlText w:val=""/>
      <w:lvlJc w:val="left"/>
      <w:pPr>
        <w:ind w:left="990" w:hanging="360"/>
      </w:pPr>
      <w:rPr>
        <w:rFonts w:ascii="Wingdings" w:hAnsi="Wingdings"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98">
    <w:nsid w:val="6E7B32FC"/>
    <w:multiLevelType w:val="hybridMultilevel"/>
    <w:tmpl w:val="38384CB6"/>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E975FC8"/>
    <w:multiLevelType w:val="hybridMultilevel"/>
    <w:tmpl w:val="978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0D84E8D"/>
    <w:multiLevelType w:val="hybridMultilevel"/>
    <w:tmpl w:val="7256B2C6"/>
    <w:lvl w:ilvl="0" w:tplc="0409000F">
      <w:start w:val="1"/>
      <w:numFmt w:val="decimal"/>
      <w:lvlText w:val="%1."/>
      <w:lvlJc w:val="left"/>
      <w:pPr>
        <w:ind w:left="540" w:hanging="360"/>
      </w:pPr>
    </w:lvl>
    <w:lvl w:ilvl="1" w:tplc="08090001">
      <w:start w:val="1"/>
      <w:numFmt w:val="bullet"/>
      <w:lvlText w:val=""/>
      <w:lvlJc w:val="left"/>
      <w:pPr>
        <w:tabs>
          <w:tab w:val="num" w:pos="733"/>
        </w:tabs>
        <w:ind w:left="733"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13672DD"/>
    <w:multiLevelType w:val="hybridMultilevel"/>
    <w:tmpl w:val="96AE38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40F220F"/>
    <w:multiLevelType w:val="hybridMultilevel"/>
    <w:tmpl w:val="93C44F94"/>
    <w:lvl w:ilvl="0" w:tplc="08090001">
      <w:start w:val="1"/>
      <w:numFmt w:val="bullet"/>
      <w:lvlText w:val=""/>
      <w:lvlJc w:val="left"/>
      <w:pPr>
        <w:tabs>
          <w:tab w:val="num" w:pos="765"/>
        </w:tabs>
        <w:ind w:left="765" w:hanging="360"/>
      </w:pPr>
      <w:rPr>
        <w:rFonts w:ascii="Symbol" w:hAnsi="Symbol" w:hint="default"/>
      </w:rPr>
    </w:lvl>
    <w:lvl w:ilvl="1" w:tplc="08090003" w:tentative="1">
      <w:start w:val="1"/>
      <w:numFmt w:val="bullet"/>
      <w:lvlText w:val="o"/>
      <w:lvlJc w:val="left"/>
      <w:pPr>
        <w:tabs>
          <w:tab w:val="num" w:pos="1485"/>
        </w:tabs>
        <w:ind w:left="1485" w:hanging="360"/>
      </w:pPr>
      <w:rPr>
        <w:rFonts w:ascii="Courier New" w:hAnsi="Courier New" w:cs="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103">
    <w:nsid w:val="747A3798"/>
    <w:multiLevelType w:val="hybridMultilevel"/>
    <w:tmpl w:val="15CE0462"/>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57B313C"/>
    <w:multiLevelType w:val="hybridMultilevel"/>
    <w:tmpl w:val="F3C22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6236FA9"/>
    <w:multiLevelType w:val="hybridMultilevel"/>
    <w:tmpl w:val="FBFA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6254990"/>
    <w:multiLevelType w:val="hybridMultilevel"/>
    <w:tmpl w:val="9AA65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83015D8"/>
    <w:multiLevelType w:val="hybridMultilevel"/>
    <w:tmpl w:val="8CE4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A3E00B9"/>
    <w:multiLevelType w:val="hybridMultilevel"/>
    <w:tmpl w:val="DFEC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DFA42EB"/>
    <w:multiLevelType w:val="hybridMultilevel"/>
    <w:tmpl w:val="DC06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F884F1F"/>
    <w:multiLevelType w:val="hybridMultilevel"/>
    <w:tmpl w:val="523C5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FF06031"/>
    <w:multiLevelType w:val="hybridMultilevel"/>
    <w:tmpl w:val="EEC6BBB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96"/>
  </w:num>
  <w:num w:numId="2">
    <w:abstractNumId w:val="19"/>
  </w:num>
  <w:num w:numId="3">
    <w:abstractNumId w:val="87"/>
  </w:num>
  <w:num w:numId="4">
    <w:abstractNumId w:val="15"/>
  </w:num>
  <w:num w:numId="5">
    <w:abstractNumId w:val="14"/>
  </w:num>
  <w:num w:numId="6">
    <w:abstractNumId w:val="66"/>
  </w:num>
  <w:num w:numId="7">
    <w:abstractNumId w:val="23"/>
  </w:num>
  <w:num w:numId="8">
    <w:abstractNumId w:val="99"/>
  </w:num>
  <w:num w:numId="9">
    <w:abstractNumId w:val="68"/>
  </w:num>
  <w:num w:numId="10">
    <w:abstractNumId w:val="95"/>
  </w:num>
  <w:num w:numId="11">
    <w:abstractNumId w:val="59"/>
  </w:num>
  <w:num w:numId="12">
    <w:abstractNumId w:val="26"/>
  </w:num>
  <w:num w:numId="13">
    <w:abstractNumId w:val="75"/>
  </w:num>
  <w:num w:numId="1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num>
  <w:num w:numId="16">
    <w:abstractNumId w:val="82"/>
  </w:num>
  <w:num w:numId="17">
    <w:abstractNumId w:val="0"/>
  </w:num>
  <w:num w:numId="18">
    <w:abstractNumId w:val="79"/>
  </w:num>
  <w:num w:numId="19">
    <w:abstractNumId w:val="44"/>
  </w:num>
  <w:num w:numId="20">
    <w:abstractNumId w:val="39"/>
  </w:num>
  <w:num w:numId="21">
    <w:abstractNumId w:val="97"/>
  </w:num>
  <w:num w:numId="2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8"/>
  </w:num>
  <w:num w:numId="24">
    <w:abstractNumId w:val="63"/>
  </w:num>
  <w:num w:numId="25">
    <w:abstractNumId w:val="83"/>
  </w:num>
  <w:num w:numId="26">
    <w:abstractNumId w:val="58"/>
  </w:num>
  <w:num w:numId="27">
    <w:abstractNumId w:val="50"/>
  </w:num>
  <w:num w:numId="28">
    <w:abstractNumId w:val="52"/>
  </w:num>
  <w:num w:numId="29">
    <w:abstractNumId w:val="7"/>
  </w:num>
  <w:num w:numId="30">
    <w:abstractNumId w:val="25"/>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56"/>
  </w:num>
  <w:num w:numId="34">
    <w:abstractNumId w:val="41"/>
  </w:num>
  <w:num w:numId="35">
    <w:abstractNumId w:val="21"/>
  </w:num>
  <w:num w:numId="36">
    <w:abstractNumId w:val="2"/>
  </w:num>
  <w:num w:numId="37">
    <w:abstractNumId w:val="3"/>
  </w:num>
  <w:num w:numId="38">
    <w:abstractNumId w:val="42"/>
  </w:num>
  <w:num w:numId="39">
    <w:abstractNumId w:val="43"/>
  </w:num>
  <w:num w:numId="40">
    <w:abstractNumId w:val="12"/>
  </w:num>
  <w:num w:numId="41">
    <w:abstractNumId w:val="74"/>
  </w:num>
  <w:num w:numId="42">
    <w:abstractNumId w:val="85"/>
  </w:num>
  <w:num w:numId="43">
    <w:abstractNumId w:val="60"/>
  </w:num>
  <w:num w:numId="44">
    <w:abstractNumId w:val="88"/>
  </w:num>
  <w:num w:numId="45">
    <w:abstractNumId w:val="27"/>
  </w:num>
  <w:num w:numId="46">
    <w:abstractNumId w:val="98"/>
  </w:num>
  <w:num w:numId="47">
    <w:abstractNumId w:val="54"/>
  </w:num>
  <w:num w:numId="48">
    <w:abstractNumId w:val="4"/>
  </w:num>
  <w:num w:numId="49">
    <w:abstractNumId w:val="73"/>
  </w:num>
  <w:num w:numId="50">
    <w:abstractNumId w:val="103"/>
  </w:num>
  <w:num w:numId="51">
    <w:abstractNumId w:val="64"/>
  </w:num>
  <w:num w:numId="52">
    <w:abstractNumId w:val="91"/>
  </w:num>
  <w:num w:numId="53">
    <w:abstractNumId w:val="109"/>
  </w:num>
  <w:num w:numId="54">
    <w:abstractNumId w:val="36"/>
  </w:num>
  <w:num w:numId="55">
    <w:abstractNumId w:val="80"/>
  </w:num>
  <w:num w:numId="56">
    <w:abstractNumId w:val="11"/>
  </w:num>
  <w:num w:numId="57">
    <w:abstractNumId w:val="104"/>
  </w:num>
  <w:num w:numId="58">
    <w:abstractNumId w:val="38"/>
  </w:num>
  <w:num w:numId="59">
    <w:abstractNumId w:val="49"/>
  </w:num>
  <w:num w:numId="60">
    <w:abstractNumId w:val="35"/>
  </w:num>
  <w:num w:numId="61">
    <w:abstractNumId w:val="46"/>
  </w:num>
  <w:num w:numId="62">
    <w:abstractNumId w:val="107"/>
  </w:num>
  <w:num w:numId="63">
    <w:abstractNumId w:val="67"/>
  </w:num>
  <w:num w:numId="64">
    <w:abstractNumId w:val="110"/>
  </w:num>
  <w:num w:numId="65">
    <w:abstractNumId w:val="65"/>
  </w:num>
  <w:num w:numId="66">
    <w:abstractNumId w:val="92"/>
  </w:num>
  <w:num w:numId="67">
    <w:abstractNumId w:val="37"/>
  </w:num>
  <w:num w:numId="68">
    <w:abstractNumId w:val="94"/>
  </w:num>
  <w:num w:numId="69">
    <w:abstractNumId w:val="106"/>
  </w:num>
  <w:num w:numId="70">
    <w:abstractNumId w:val="108"/>
  </w:num>
  <w:num w:numId="71">
    <w:abstractNumId w:val="51"/>
  </w:num>
  <w:num w:numId="72">
    <w:abstractNumId w:val="34"/>
  </w:num>
  <w:num w:numId="73">
    <w:abstractNumId w:val="5"/>
  </w:num>
  <w:num w:numId="74">
    <w:abstractNumId w:val="40"/>
  </w:num>
  <w:num w:numId="75">
    <w:abstractNumId w:val="86"/>
  </w:num>
  <w:num w:numId="76">
    <w:abstractNumId w:val="33"/>
  </w:num>
  <w:num w:numId="77">
    <w:abstractNumId w:val="72"/>
  </w:num>
  <w:num w:numId="78">
    <w:abstractNumId w:val="20"/>
  </w:num>
  <w:num w:numId="79">
    <w:abstractNumId w:val="70"/>
  </w:num>
  <w:num w:numId="80">
    <w:abstractNumId w:val="81"/>
  </w:num>
  <w:num w:numId="81">
    <w:abstractNumId w:val="24"/>
  </w:num>
  <w:num w:numId="82">
    <w:abstractNumId w:val="105"/>
  </w:num>
  <w:num w:numId="83">
    <w:abstractNumId w:val="13"/>
  </w:num>
  <w:num w:numId="84">
    <w:abstractNumId w:val="8"/>
  </w:num>
  <w:num w:numId="85">
    <w:abstractNumId w:val="89"/>
  </w:num>
  <w:num w:numId="86">
    <w:abstractNumId w:val="77"/>
  </w:num>
  <w:num w:numId="87">
    <w:abstractNumId w:val="45"/>
  </w:num>
  <w:num w:numId="88">
    <w:abstractNumId w:val="53"/>
  </w:num>
  <w:num w:numId="89">
    <w:abstractNumId w:val="17"/>
  </w:num>
  <w:num w:numId="90">
    <w:abstractNumId w:val="102"/>
  </w:num>
  <w:num w:numId="91">
    <w:abstractNumId w:val="10"/>
  </w:num>
  <w:num w:numId="92">
    <w:abstractNumId w:val="100"/>
  </w:num>
  <w:num w:numId="93">
    <w:abstractNumId w:val="84"/>
  </w:num>
  <w:num w:numId="94">
    <w:abstractNumId w:val="111"/>
  </w:num>
  <w:num w:numId="95">
    <w:abstractNumId w:val="90"/>
  </w:num>
  <w:num w:numId="96">
    <w:abstractNumId w:val="29"/>
  </w:num>
  <w:num w:numId="97">
    <w:abstractNumId w:val="16"/>
  </w:num>
  <w:num w:numId="98">
    <w:abstractNumId w:val="1"/>
  </w:num>
  <w:num w:numId="99">
    <w:abstractNumId w:val="71"/>
  </w:num>
  <w:num w:numId="100">
    <w:abstractNumId w:val="48"/>
  </w:num>
  <w:num w:numId="101">
    <w:abstractNumId w:val="62"/>
  </w:num>
  <w:num w:numId="102">
    <w:abstractNumId w:val="61"/>
  </w:num>
  <w:num w:numId="103">
    <w:abstractNumId w:val="9"/>
  </w:num>
  <w:num w:numId="104">
    <w:abstractNumId w:val="57"/>
  </w:num>
  <w:num w:numId="105">
    <w:abstractNumId w:val="93"/>
  </w:num>
  <w:num w:numId="106">
    <w:abstractNumId w:val="55"/>
  </w:num>
  <w:num w:numId="107">
    <w:abstractNumId w:val="32"/>
  </w:num>
  <w:num w:numId="108">
    <w:abstractNumId w:val="6"/>
  </w:num>
  <w:num w:numId="109">
    <w:abstractNumId w:val="69"/>
  </w:num>
  <w:num w:numId="110">
    <w:abstractNumId w:val="76"/>
  </w:num>
  <w:num w:numId="111">
    <w:abstractNumId w:val="47"/>
  </w:num>
  <w:num w:numId="112">
    <w:abstractNumId w:val="18"/>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seFELayout/>
  </w:compat>
  <w:rsids>
    <w:rsidRoot w:val="005E72AD"/>
    <w:rsid w:val="0004642F"/>
    <w:rsid w:val="001247C0"/>
    <w:rsid w:val="0016746C"/>
    <w:rsid w:val="0018682B"/>
    <w:rsid w:val="001D216F"/>
    <w:rsid w:val="001E5B59"/>
    <w:rsid w:val="00201C85"/>
    <w:rsid w:val="00202062"/>
    <w:rsid w:val="00221E03"/>
    <w:rsid w:val="00251B7E"/>
    <w:rsid w:val="002642FD"/>
    <w:rsid w:val="002B08B7"/>
    <w:rsid w:val="002C6647"/>
    <w:rsid w:val="002E378B"/>
    <w:rsid w:val="002E4C6C"/>
    <w:rsid w:val="0033470A"/>
    <w:rsid w:val="0035574A"/>
    <w:rsid w:val="003A13DD"/>
    <w:rsid w:val="003B240A"/>
    <w:rsid w:val="003B46CD"/>
    <w:rsid w:val="003C2FB9"/>
    <w:rsid w:val="003C4BF1"/>
    <w:rsid w:val="003C5A93"/>
    <w:rsid w:val="003E0ABE"/>
    <w:rsid w:val="003F4027"/>
    <w:rsid w:val="00437907"/>
    <w:rsid w:val="00466D1F"/>
    <w:rsid w:val="004F065D"/>
    <w:rsid w:val="0052231E"/>
    <w:rsid w:val="00581C05"/>
    <w:rsid w:val="00593C54"/>
    <w:rsid w:val="005A009F"/>
    <w:rsid w:val="005D459F"/>
    <w:rsid w:val="005E72AD"/>
    <w:rsid w:val="005F4685"/>
    <w:rsid w:val="006104B3"/>
    <w:rsid w:val="00664D4F"/>
    <w:rsid w:val="006753A3"/>
    <w:rsid w:val="006A42BF"/>
    <w:rsid w:val="006B34AB"/>
    <w:rsid w:val="00701E81"/>
    <w:rsid w:val="00723CAB"/>
    <w:rsid w:val="007B6F4C"/>
    <w:rsid w:val="00824B14"/>
    <w:rsid w:val="008633F3"/>
    <w:rsid w:val="00873E8D"/>
    <w:rsid w:val="008819BF"/>
    <w:rsid w:val="008A4A46"/>
    <w:rsid w:val="008E1430"/>
    <w:rsid w:val="009C5D9C"/>
    <w:rsid w:val="009E7C66"/>
    <w:rsid w:val="00A03A7C"/>
    <w:rsid w:val="00A5046C"/>
    <w:rsid w:val="00A7650C"/>
    <w:rsid w:val="00B42DD1"/>
    <w:rsid w:val="00B91F68"/>
    <w:rsid w:val="00BD38C6"/>
    <w:rsid w:val="00C12D0B"/>
    <w:rsid w:val="00C6060F"/>
    <w:rsid w:val="00C901AB"/>
    <w:rsid w:val="00C9722E"/>
    <w:rsid w:val="00CA7CDB"/>
    <w:rsid w:val="00CC3090"/>
    <w:rsid w:val="00D16212"/>
    <w:rsid w:val="00D65DAB"/>
    <w:rsid w:val="00D754B9"/>
    <w:rsid w:val="00DC741B"/>
    <w:rsid w:val="00DD7FAA"/>
    <w:rsid w:val="00E07B63"/>
    <w:rsid w:val="00E11796"/>
    <w:rsid w:val="00E22FE0"/>
    <w:rsid w:val="00E31EB3"/>
    <w:rsid w:val="00E32CFB"/>
    <w:rsid w:val="00E650A9"/>
    <w:rsid w:val="00EC1D48"/>
    <w:rsid w:val="00F337A3"/>
    <w:rsid w:val="00F76AC3"/>
    <w:rsid w:val="00F8148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46C"/>
  </w:style>
  <w:style w:type="paragraph" w:styleId="Heading2">
    <w:name w:val="heading 2"/>
    <w:basedOn w:val="Normal"/>
    <w:next w:val="Normal"/>
    <w:link w:val="Heading2Char"/>
    <w:qFormat/>
    <w:rsid w:val="00C12D0B"/>
    <w:pPr>
      <w:keepNext/>
      <w:spacing w:after="0" w:line="240" w:lineRule="auto"/>
      <w:outlineLvl w:val="1"/>
    </w:pPr>
    <w:rPr>
      <w:rFonts w:ascii="Times New Roman" w:eastAsia="Times New Roman" w:hAnsi="Times New Roman" w:cs="Times New Roman"/>
      <w:b/>
      <w:sz w:val="24"/>
      <w:szCs w:val="20"/>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4685"/>
    <w:pPr>
      <w:pBdr>
        <w:bottom w:val="single" w:sz="24" w:space="0" w:color="7030A0"/>
      </w:pBdr>
      <w:spacing w:after="240" w:line="240" w:lineRule="auto"/>
      <w:jc w:val="center"/>
    </w:pPr>
    <w:rPr>
      <w:rFonts w:ascii="Century" w:hAnsi="Century"/>
      <w:noProof/>
      <w:color w:val="7030A0"/>
      <w:sz w:val="140"/>
      <w:szCs w:val="140"/>
    </w:rPr>
  </w:style>
  <w:style w:type="character" w:customStyle="1" w:styleId="TitleChar">
    <w:name w:val="Title Char"/>
    <w:basedOn w:val="DefaultParagraphFont"/>
    <w:link w:val="Title"/>
    <w:uiPriority w:val="10"/>
    <w:rsid w:val="005F4685"/>
    <w:rPr>
      <w:rFonts w:ascii="Century" w:hAnsi="Century"/>
      <w:noProof/>
      <w:color w:val="7030A0"/>
      <w:sz w:val="140"/>
      <w:szCs w:val="140"/>
    </w:rPr>
  </w:style>
  <w:style w:type="paragraph" w:styleId="Header">
    <w:name w:val="header"/>
    <w:basedOn w:val="Normal"/>
    <w:link w:val="HeaderChar"/>
    <w:uiPriority w:val="99"/>
    <w:unhideWhenUsed/>
    <w:rsid w:val="00701E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E81"/>
  </w:style>
  <w:style w:type="paragraph" w:styleId="Footer">
    <w:name w:val="footer"/>
    <w:basedOn w:val="Normal"/>
    <w:link w:val="FooterChar"/>
    <w:uiPriority w:val="99"/>
    <w:unhideWhenUsed/>
    <w:rsid w:val="00701E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E81"/>
  </w:style>
  <w:style w:type="paragraph" w:styleId="BalloonText">
    <w:name w:val="Balloon Text"/>
    <w:basedOn w:val="Normal"/>
    <w:link w:val="BalloonTextChar"/>
    <w:uiPriority w:val="99"/>
    <w:semiHidden/>
    <w:unhideWhenUsed/>
    <w:rsid w:val="00664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D4F"/>
    <w:rPr>
      <w:rFonts w:ascii="Tahoma" w:hAnsi="Tahoma" w:cs="Tahoma"/>
      <w:sz w:val="16"/>
      <w:szCs w:val="16"/>
    </w:rPr>
  </w:style>
  <w:style w:type="paragraph" w:styleId="BodyText2">
    <w:name w:val="Body Text 2"/>
    <w:basedOn w:val="Normal"/>
    <w:link w:val="BodyText2Char"/>
    <w:rsid w:val="00C12D0B"/>
    <w:pPr>
      <w:spacing w:after="120" w:line="480" w:lineRule="auto"/>
    </w:pPr>
    <w:rPr>
      <w:rFonts w:ascii="Times New Roman" w:eastAsia="Times New Roman" w:hAnsi="Times New Roman" w:cs="Times New Roman"/>
      <w:sz w:val="24"/>
      <w:szCs w:val="24"/>
      <w:lang w:val="sq-AL"/>
    </w:rPr>
  </w:style>
  <w:style w:type="character" w:customStyle="1" w:styleId="BodyText2Char">
    <w:name w:val="Body Text 2 Char"/>
    <w:basedOn w:val="DefaultParagraphFont"/>
    <w:link w:val="BodyText2"/>
    <w:rsid w:val="00C12D0B"/>
    <w:rPr>
      <w:rFonts w:ascii="Times New Roman" w:eastAsia="Times New Roman" w:hAnsi="Times New Roman" w:cs="Times New Roman"/>
      <w:sz w:val="24"/>
      <w:szCs w:val="24"/>
      <w:lang w:val="sq-AL"/>
    </w:rPr>
  </w:style>
  <w:style w:type="character" w:styleId="Hyperlink">
    <w:name w:val="Hyperlink"/>
    <w:uiPriority w:val="99"/>
    <w:rsid w:val="00C12D0B"/>
    <w:rPr>
      <w:color w:val="0000FF"/>
      <w:u w:val="single"/>
    </w:rPr>
  </w:style>
  <w:style w:type="paragraph" w:styleId="BodyText">
    <w:name w:val="Body Text"/>
    <w:aliases w:val="Body Text Char Char Char,Body Text Char Char"/>
    <w:basedOn w:val="Normal"/>
    <w:link w:val="BodyTextChar"/>
    <w:rsid w:val="00C12D0B"/>
    <w:pPr>
      <w:spacing w:after="120" w:line="240" w:lineRule="auto"/>
    </w:pPr>
    <w:rPr>
      <w:rFonts w:ascii="Times New Roman" w:eastAsia="Times New Roman" w:hAnsi="Times New Roman" w:cs="Times New Roman"/>
      <w:sz w:val="24"/>
      <w:szCs w:val="24"/>
      <w:lang w:val="sq-AL"/>
    </w:rPr>
  </w:style>
  <w:style w:type="character" w:customStyle="1" w:styleId="BodyTextChar">
    <w:name w:val="Body Text Char"/>
    <w:aliases w:val="Body Text Char Char Char Char,Body Text Char Char Char1"/>
    <w:basedOn w:val="DefaultParagraphFont"/>
    <w:link w:val="BodyText"/>
    <w:rsid w:val="00C12D0B"/>
    <w:rPr>
      <w:rFonts w:ascii="Times New Roman" w:eastAsia="Times New Roman" w:hAnsi="Times New Roman" w:cs="Times New Roman"/>
      <w:sz w:val="24"/>
      <w:szCs w:val="24"/>
      <w:lang w:val="sq-AL"/>
    </w:rPr>
  </w:style>
  <w:style w:type="paragraph" w:styleId="ListParagraph">
    <w:name w:val="List Paragraph"/>
    <w:basedOn w:val="Normal"/>
    <w:uiPriority w:val="34"/>
    <w:qFormat/>
    <w:rsid w:val="00C12D0B"/>
    <w:pPr>
      <w:ind w:left="720"/>
    </w:pPr>
    <w:rPr>
      <w:rFonts w:ascii="Calibri" w:eastAsia="MS Mincho" w:hAnsi="Calibri" w:cs="Calibri"/>
      <w:lang w:val="sq-AL"/>
    </w:rPr>
  </w:style>
  <w:style w:type="character" w:customStyle="1" w:styleId="Heading2Char">
    <w:name w:val="Heading 2 Char"/>
    <w:basedOn w:val="DefaultParagraphFont"/>
    <w:link w:val="Heading2"/>
    <w:rsid w:val="00C12D0B"/>
    <w:rPr>
      <w:rFonts w:ascii="Times New Roman" w:eastAsia="Times New Roman" w:hAnsi="Times New Roman" w:cs="Times New Roman"/>
      <w:b/>
      <w:sz w:val="24"/>
      <w:szCs w:val="20"/>
      <w:lang w:val="sq-AL"/>
    </w:rPr>
  </w:style>
  <w:style w:type="paragraph" w:styleId="BodyText3">
    <w:name w:val="Body Text 3"/>
    <w:basedOn w:val="Normal"/>
    <w:link w:val="BodyText3Char"/>
    <w:uiPriority w:val="99"/>
    <w:semiHidden/>
    <w:unhideWhenUsed/>
    <w:rsid w:val="00C12D0B"/>
    <w:pPr>
      <w:spacing w:after="120"/>
    </w:pPr>
    <w:rPr>
      <w:sz w:val="16"/>
      <w:szCs w:val="16"/>
    </w:rPr>
  </w:style>
  <w:style w:type="character" w:customStyle="1" w:styleId="BodyText3Char">
    <w:name w:val="Body Text 3 Char"/>
    <w:basedOn w:val="DefaultParagraphFont"/>
    <w:link w:val="BodyText3"/>
    <w:uiPriority w:val="99"/>
    <w:semiHidden/>
    <w:rsid w:val="00C12D0B"/>
    <w:rPr>
      <w:sz w:val="16"/>
      <w:szCs w:val="16"/>
    </w:rPr>
  </w:style>
  <w:style w:type="paragraph" w:styleId="NoSpacing">
    <w:name w:val="No Spacing"/>
    <w:link w:val="NoSpacingChar"/>
    <w:uiPriority w:val="1"/>
    <w:qFormat/>
    <w:rsid w:val="002E4C6C"/>
    <w:pPr>
      <w:spacing w:after="0" w:line="240" w:lineRule="auto"/>
    </w:pPr>
    <w:rPr>
      <w:rFonts w:ascii="Times New Roman" w:eastAsia="Times New Roman" w:hAnsi="Times New Roman" w:cs="Times New Roman"/>
      <w:sz w:val="24"/>
      <w:szCs w:val="24"/>
      <w:lang w:val="sq-AL"/>
    </w:rPr>
  </w:style>
  <w:style w:type="character" w:customStyle="1" w:styleId="NoSpacingChar">
    <w:name w:val="No Spacing Char"/>
    <w:link w:val="NoSpacing"/>
    <w:uiPriority w:val="1"/>
    <w:locked/>
    <w:rsid w:val="002E4C6C"/>
    <w:rPr>
      <w:rFonts w:ascii="Times New Roman" w:eastAsia="Times New Roman" w:hAnsi="Times New Roman" w:cs="Times New Roman"/>
      <w:sz w:val="24"/>
      <w:szCs w:val="24"/>
      <w:lang w:val="sq-AL"/>
    </w:rPr>
  </w:style>
  <w:style w:type="paragraph" w:styleId="FootnoteText">
    <w:name w:val="footnote text"/>
    <w:basedOn w:val="Normal"/>
    <w:link w:val="FootnoteTextChar"/>
    <w:rsid w:val="002E4C6C"/>
    <w:pPr>
      <w:spacing w:after="0" w:line="240" w:lineRule="auto"/>
    </w:pPr>
    <w:rPr>
      <w:rFonts w:ascii="Times New Roman" w:eastAsia="MS Mincho" w:hAnsi="Times New Roman" w:cs="Times New Roman"/>
      <w:sz w:val="20"/>
      <w:szCs w:val="20"/>
      <w:lang w:val="sq-AL"/>
    </w:rPr>
  </w:style>
  <w:style w:type="character" w:customStyle="1" w:styleId="FootnoteTextChar">
    <w:name w:val="Footnote Text Char"/>
    <w:basedOn w:val="DefaultParagraphFont"/>
    <w:link w:val="FootnoteText"/>
    <w:rsid w:val="002E4C6C"/>
    <w:rPr>
      <w:rFonts w:ascii="Times New Roman" w:eastAsia="MS Mincho" w:hAnsi="Times New Roman" w:cs="Times New Roman"/>
      <w:sz w:val="20"/>
      <w:szCs w:val="20"/>
      <w:lang w:val="sq-AL"/>
    </w:rPr>
  </w:style>
  <w:style w:type="character" w:styleId="FootnoteReference">
    <w:name w:val="footnote reference"/>
    <w:rsid w:val="002E4C6C"/>
    <w:rPr>
      <w:vertAlign w:val="superscript"/>
    </w:rPr>
  </w:style>
  <w:style w:type="character" w:customStyle="1" w:styleId="apple-converted-space">
    <w:name w:val="apple-converted-space"/>
    <w:basedOn w:val="DefaultParagraphFont"/>
    <w:rsid w:val="00D1621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agjistratura.edu.al" TargetMode="Externa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4.png"/><Relationship Id="rId42" Type="http://schemas.openxmlformats.org/officeDocument/2006/relationships/hyperlink" Target="http://www.magjistratura.edu.al" TargetMode="External"/><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chart" Target="charts/chart5.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chart" Target="charts/chart7.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image" Target="media/image16.png"/><Relationship Id="rId49"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chart" Target="charts/chart9.xml"/><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chart" Target="charts/chart8.xml"/><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a:lstStyle/>
          <a:p>
            <a:pPr>
              <a:defRPr lang="en-US" sz="998" b="0" i="0" u="none" strike="noStrike" baseline="0">
                <a:solidFill>
                  <a:srgbClr val="000000"/>
                </a:solidFill>
                <a:latin typeface="Calibri"/>
                <a:ea typeface="Calibri"/>
                <a:cs typeface="Calibri"/>
              </a:defRPr>
            </a:pPr>
            <a:r>
              <a:rPr lang="en-US" sz="1349" b="1" i="0" u="none" strike="noStrike" baseline="0">
                <a:solidFill>
                  <a:srgbClr val="333333"/>
                </a:solidFill>
                <a:latin typeface="Calibri"/>
                <a:cs typeface="Calibri"/>
              </a:rPr>
              <a:t>Pjesëmarrja në aktivitetet trajnuese</a:t>
            </a:r>
          </a:p>
          <a:p>
            <a:pPr>
              <a:defRPr lang="en-US" sz="998" b="0" i="0" u="none" strike="noStrike" baseline="0">
                <a:solidFill>
                  <a:srgbClr val="000000"/>
                </a:solidFill>
                <a:latin typeface="Calibri"/>
                <a:ea typeface="Calibri"/>
                <a:cs typeface="Calibri"/>
              </a:defRPr>
            </a:pPr>
            <a:r>
              <a:rPr lang="en-US" sz="1349" b="1" i="0" u="none" strike="noStrike" baseline="0">
                <a:solidFill>
                  <a:srgbClr val="333333"/>
                </a:solidFill>
                <a:latin typeface="Calibri"/>
                <a:cs typeface="Calibri"/>
              </a:rPr>
              <a:t> për vitin akademik 2015-2016</a:t>
            </a:r>
          </a:p>
        </c:rich>
      </c:tx>
      <c:spPr>
        <a:noFill/>
        <a:ln w="19070">
          <a:noFill/>
        </a:ln>
      </c:spPr>
    </c:title>
    <c:plotArea>
      <c:layout/>
      <c:doughnutChart>
        <c:varyColors val="1"/>
        <c:ser>
          <c:idx val="0"/>
          <c:order val="0"/>
          <c:tx>
            <c:strRef>
              <c:f>Sheet1!$B$1</c:f>
              <c:strCache>
                <c:ptCount val="1"/>
                <c:pt idx="0">
                  <c:v>Sales</c:v>
                </c:pt>
              </c:strCache>
            </c:strRef>
          </c:tx>
          <c:spPr>
            <a:solidFill>
              <a:srgbClr val="5B9BD5"/>
            </a:solidFill>
            <a:ln w="25376">
              <a:noFill/>
            </a:ln>
            <a:effectLst>
              <a:outerShdw dist="35921" dir="2700000" algn="br">
                <a:srgbClr val="000000"/>
              </a:outerShdw>
            </a:effectLst>
          </c:spPr>
          <c:dPt>
            <c:idx val="1"/>
            <c:spPr>
              <a:solidFill>
                <a:srgbClr val="ED7D31"/>
              </a:solidFill>
              <a:ln w="25376">
                <a:noFill/>
              </a:ln>
              <a:effectLst>
                <a:outerShdw dist="35921" dir="2700000" algn="br">
                  <a:srgbClr val="000000"/>
                </a:outerShdw>
              </a:effectLst>
            </c:spPr>
          </c:dPt>
          <c:dPt>
            <c:idx val="2"/>
            <c:spPr>
              <a:solidFill>
                <a:srgbClr val="A5A5A5"/>
              </a:solidFill>
              <a:ln w="25376">
                <a:noFill/>
              </a:ln>
              <a:effectLst>
                <a:outerShdw dist="35921" dir="2700000" algn="br">
                  <a:srgbClr val="000000"/>
                </a:outerShdw>
              </a:effectLst>
            </c:spPr>
          </c:dPt>
          <c:dLbls>
            <c:spPr>
              <a:pattFill prst="pct75">
                <a:fgClr>
                  <a:srgbClr val="404040"/>
                </a:fgClr>
                <a:bgClr>
                  <a:srgbClr val="595959"/>
                </a:bgClr>
              </a:pattFill>
              <a:ln w="25376">
                <a:noFill/>
              </a:ln>
              <a:effectLst>
                <a:outerShdw dist="35921" dir="2700000" algn="br">
                  <a:srgbClr val="000000"/>
                </a:outerShdw>
              </a:effectLst>
            </c:spPr>
            <c:txPr>
              <a:bodyPr rot="0" spcFirstLastPara="1" vertOverflow="ellipsis" vert="horz" wrap="square" lIns="38100" tIns="19050" rIns="38100" bIns="19050" anchor="ctr" anchorCtr="1">
                <a:spAutoFit/>
              </a:bodyPr>
              <a:lstStyle/>
              <a:p>
                <a:pPr>
                  <a:defRPr lang="en-US" sz="751" b="1" i="0" u="none" strike="noStrike" kern="1200" baseline="0">
                    <a:solidFill>
                      <a:schemeClr val="lt1"/>
                    </a:solidFill>
                    <a:latin typeface="+mn-lt"/>
                    <a:ea typeface="+mn-ea"/>
                    <a:cs typeface="+mn-cs"/>
                  </a:defRPr>
                </a:pPr>
                <a:endParaRPr lang="en-US"/>
              </a:p>
            </c:txPr>
            <c:showVal val="1"/>
            <c:showPercent val="1"/>
            <c:extLst>
              <c:ext xmlns:c15="http://schemas.microsoft.com/office/drawing/2012/chart" uri="{CE6537A1-D6FC-4f65-9D91-7224C49458BB}"/>
            </c:extLst>
          </c:dLbls>
          <c:cat>
            <c:strRef>
              <c:f>Sheet1!$A$2:$A$4</c:f>
              <c:strCache>
                <c:ptCount val="3"/>
                <c:pt idx="0">
                  <c:v>gjyqtarë</c:v>
                </c:pt>
                <c:pt idx="1">
                  <c:v>prokurorë</c:v>
                </c:pt>
                <c:pt idx="2">
                  <c:v>të tjerë</c:v>
                </c:pt>
              </c:strCache>
            </c:strRef>
          </c:cat>
          <c:val>
            <c:numRef>
              <c:f>Sheet1!$B$2:$B$4</c:f>
              <c:numCache>
                <c:formatCode>General</c:formatCode>
                <c:ptCount val="3"/>
                <c:pt idx="0">
                  <c:v>1296</c:v>
                </c:pt>
                <c:pt idx="1">
                  <c:v>282</c:v>
                </c:pt>
                <c:pt idx="2">
                  <c:v>342</c:v>
                </c:pt>
              </c:numCache>
            </c:numRef>
          </c:val>
        </c:ser>
        <c:firstSliceAng val="0"/>
        <c:holeSize val="50"/>
      </c:doughnutChart>
      <c:spPr>
        <a:noFill/>
        <a:ln w="25376">
          <a:noFill/>
        </a:ln>
      </c:spPr>
    </c:plotArea>
    <c:legend>
      <c:legendPos val="r"/>
      <c:layout>
        <c:manualLayout>
          <c:xMode val="edge"/>
          <c:yMode val="edge"/>
          <c:x val="0.85739436619718368"/>
          <c:y val="0.43902439024390288"/>
          <c:w val="0.125"/>
          <c:h val="0.24390243902439049"/>
        </c:manualLayout>
      </c:layout>
      <c:spPr>
        <a:solidFill>
          <a:srgbClr val="F2F2F2">
            <a:alpha val="38824"/>
          </a:srgbClr>
        </a:solidFill>
        <a:ln w="19070">
          <a:noFill/>
        </a:ln>
      </c:spPr>
      <c:txPr>
        <a:bodyPr rot="0" spcFirstLastPara="1" vertOverflow="ellipsis" vert="horz" wrap="square" anchor="ctr" anchorCtr="1"/>
        <a:lstStyle/>
        <a:p>
          <a:pPr>
            <a:defRPr lang="en-US" sz="675"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rotWithShape="0">
      <a:gsLst>
        <a:gs pos="0">
          <a:srgbClr val="FFFFFF"/>
        </a:gs>
        <a:gs pos="39000">
          <a:srgbClr val="FFFFFF"/>
        </a:gs>
        <a:gs pos="100000">
          <a:srgbClr val="BFBFBF"/>
        </a:gs>
      </a:gsLst>
      <a:path path="rect">
        <a:fillToRect l="50000" t="-80000" r="50000" b="180000"/>
      </a:path>
    </a:gradFill>
    <a:ln w="2384">
      <a:solidFill>
        <a:srgbClr val="C0C0C0"/>
      </a:solidFill>
      <a:prstDash val="solid"/>
    </a:ln>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a:lstStyle/>
          <a:p>
            <a:pPr>
              <a:defRPr lang="en-US" sz="1000" b="0" i="0" u="none" strike="noStrike" baseline="0">
                <a:solidFill>
                  <a:srgbClr val="000000"/>
                </a:solidFill>
                <a:latin typeface="Calibri"/>
                <a:ea typeface="Calibri"/>
                <a:cs typeface="Calibri"/>
              </a:defRPr>
            </a:pPr>
            <a:r>
              <a:rPr lang="en-US" sz="1794" b="1" i="0" u="none" strike="noStrike" baseline="0">
                <a:solidFill>
                  <a:srgbClr val="333333"/>
                </a:solidFill>
                <a:latin typeface="Calibri"/>
                <a:cs typeface="Calibri"/>
              </a:rPr>
              <a:t>Ekspertë shqiptarë për </a:t>
            </a:r>
          </a:p>
          <a:p>
            <a:pPr>
              <a:defRPr lang="en-US" sz="1000" b="0" i="0" u="none" strike="noStrike" baseline="0">
                <a:solidFill>
                  <a:srgbClr val="000000"/>
                </a:solidFill>
                <a:latin typeface="Calibri"/>
                <a:ea typeface="Calibri"/>
                <a:cs typeface="Calibri"/>
              </a:defRPr>
            </a:pPr>
            <a:r>
              <a:rPr lang="en-US" sz="1794" b="1" i="0" u="none" strike="noStrike" baseline="0">
                <a:solidFill>
                  <a:srgbClr val="333333"/>
                </a:solidFill>
                <a:latin typeface="Calibri"/>
                <a:cs typeface="Calibri"/>
              </a:rPr>
              <a:t>vitin akademik 2015-2016 </a:t>
            </a:r>
          </a:p>
        </c:rich>
      </c:tx>
      <c:spPr>
        <a:noFill/>
        <a:ln w="25356">
          <a:noFill/>
        </a:ln>
      </c:spPr>
    </c:title>
    <c:plotArea>
      <c:layout/>
      <c:pieChart>
        <c:varyColors val="1"/>
        <c:ser>
          <c:idx val="0"/>
          <c:order val="0"/>
          <c:tx>
            <c:strRef>
              <c:f>Sheet1!$B$1</c:f>
              <c:strCache>
                <c:ptCount val="1"/>
                <c:pt idx="0">
                  <c:v>Ekspertë shqiptarë për vitin akademik 2015-2016 </c:v>
                </c:pt>
              </c:strCache>
            </c:strRef>
          </c:tx>
          <c:spPr>
            <a:solidFill>
              <a:srgbClr val="5B9BD5"/>
            </a:solidFill>
            <a:ln w="25389">
              <a:noFill/>
            </a:ln>
            <a:effectLst>
              <a:outerShdw dist="35921" dir="2700000" algn="br">
                <a:srgbClr val="000000"/>
              </a:outerShdw>
            </a:effectLst>
          </c:spPr>
          <c:dPt>
            <c:idx val="1"/>
            <c:spPr>
              <a:solidFill>
                <a:srgbClr val="ED7D31"/>
              </a:solidFill>
              <a:ln w="25389">
                <a:noFill/>
              </a:ln>
              <a:effectLst>
                <a:outerShdw dist="35921" dir="2700000" algn="br">
                  <a:srgbClr val="000000"/>
                </a:outerShdw>
              </a:effectLst>
            </c:spPr>
          </c:dPt>
          <c:dPt>
            <c:idx val="2"/>
            <c:spPr>
              <a:solidFill>
                <a:srgbClr val="A5A5A5"/>
              </a:solidFill>
              <a:ln w="25389">
                <a:noFill/>
              </a:ln>
              <a:effectLst>
                <a:outerShdw dist="35921" dir="2700000" algn="br">
                  <a:srgbClr val="000000"/>
                </a:outerShdw>
              </a:effectLst>
            </c:spPr>
          </c:dPt>
          <c:dPt>
            <c:idx val="3"/>
            <c:spPr>
              <a:solidFill>
                <a:srgbClr val="FFC000"/>
              </a:solidFill>
              <a:ln w="25389">
                <a:noFill/>
              </a:ln>
              <a:effectLst>
                <a:outerShdw dist="35921" dir="2700000" algn="br">
                  <a:srgbClr val="000000"/>
                </a:outerShdw>
              </a:effectLst>
            </c:spPr>
          </c:dPt>
          <c:dPt>
            <c:idx val="4"/>
            <c:spPr>
              <a:solidFill>
                <a:srgbClr val="4472C4"/>
              </a:solidFill>
              <a:ln w="25389">
                <a:noFill/>
              </a:ln>
              <a:effectLst>
                <a:outerShdw dist="35921" dir="2700000" algn="br">
                  <a:srgbClr val="000000"/>
                </a:outerShdw>
              </a:effectLst>
            </c:spPr>
          </c:dPt>
          <c:dLbls>
            <c:spPr>
              <a:noFill/>
              <a:ln w="25356">
                <a:noFill/>
              </a:ln>
            </c:spPr>
            <c:txPr>
              <a:bodyPr rot="0" spcFirstLastPara="1" vertOverflow="ellipsis" vert="horz" wrap="square" lIns="38100" tIns="19050" rIns="38100" bIns="19050" anchor="ctr" anchorCtr="1">
                <a:spAutoFit/>
              </a:bodyPr>
              <a:lstStyle/>
              <a:p>
                <a:pPr>
                  <a:defRPr lang="en-US" sz="899" b="1" i="0" u="none" strike="noStrike" kern="1200" baseline="0">
                    <a:solidFill>
                      <a:schemeClr val="lt1"/>
                    </a:solidFill>
                    <a:latin typeface="+mn-lt"/>
                    <a:ea typeface="+mn-ea"/>
                    <a:cs typeface="+mn-cs"/>
                  </a:defRPr>
                </a:pPr>
                <a:endParaRPr lang="en-US"/>
              </a:p>
            </c:txPr>
            <c:dLblPos val="inEnd"/>
            <c:showVal val="1"/>
            <c:showPercent val="1"/>
            <c:showLeaderLines val="1"/>
            <c:leaderLines>
              <c:spPr>
                <a:ln w="3170">
                  <a:solidFill>
                    <a:srgbClr val="969696"/>
                  </a:solidFill>
                  <a:prstDash val="solid"/>
                </a:ln>
              </c:spPr>
            </c:leaderLines>
            <c:extLst>
              <c:ext xmlns:c15="http://schemas.microsoft.com/office/drawing/2012/chart" uri="{CE6537A1-D6FC-4f65-9D91-7224C49458BB}"/>
            </c:extLst>
          </c:dLbls>
          <c:cat>
            <c:strRef>
              <c:f>Sheet1!$A$2:$A$6</c:f>
              <c:strCache>
                <c:ptCount val="5"/>
                <c:pt idx="0">
                  <c:v>Gjyqtarë</c:v>
                </c:pt>
                <c:pt idx="1">
                  <c:v>Prokurorë</c:v>
                </c:pt>
                <c:pt idx="2">
                  <c:v>Avokatë</c:v>
                </c:pt>
                <c:pt idx="3">
                  <c:v>Pedagogë të SHM</c:v>
                </c:pt>
                <c:pt idx="4">
                  <c:v>Tjerë</c:v>
                </c:pt>
              </c:strCache>
            </c:strRef>
          </c:cat>
          <c:val>
            <c:numRef>
              <c:f>Sheet1!$B$2:$B$6</c:f>
              <c:numCache>
                <c:formatCode>General</c:formatCode>
                <c:ptCount val="5"/>
                <c:pt idx="0">
                  <c:v>46</c:v>
                </c:pt>
                <c:pt idx="1">
                  <c:v>18</c:v>
                </c:pt>
                <c:pt idx="2">
                  <c:v>4</c:v>
                </c:pt>
                <c:pt idx="3">
                  <c:v>16</c:v>
                </c:pt>
                <c:pt idx="4">
                  <c:v>22</c:v>
                </c:pt>
              </c:numCache>
            </c:numRef>
          </c:val>
        </c:ser>
        <c:firstSliceAng val="0"/>
      </c:pieChart>
      <c:spPr>
        <a:noFill/>
        <a:ln w="25389">
          <a:noFill/>
        </a:ln>
      </c:spPr>
    </c:plotArea>
    <c:legend>
      <c:legendPos val="r"/>
      <c:layout>
        <c:manualLayout>
          <c:xMode val="edge"/>
          <c:yMode val="edge"/>
          <c:x val="0.17253521126760571"/>
          <c:y val="0.87461773700305856"/>
          <c:w val="0.65316901408450789"/>
          <c:h val="7.9510703363914373E-2"/>
        </c:manualLayout>
      </c:layout>
      <c:spPr>
        <a:solidFill>
          <a:srgbClr val="FFFFFF"/>
        </a:solidFill>
        <a:ln w="25356">
          <a:noFill/>
        </a:ln>
      </c:spPr>
      <c:txPr>
        <a:bodyPr rot="0" spcFirstLastPara="1" vertOverflow="ellipsis" vert="horz" wrap="square" anchor="ctr" anchorCtr="1"/>
        <a:lstStyle/>
        <a:p>
          <a:pPr>
            <a:defRPr lang="en-US" sz="899" b="0" i="0" u="none" strike="noStrike" kern="1200" baseline="0">
              <a:solidFill>
                <a:schemeClr val="dk1">
                  <a:lumMod val="65000"/>
                  <a:lumOff val="35000"/>
                </a:schemeClr>
              </a:solidFill>
              <a:latin typeface="+mn-lt"/>
              <a:ea typeface="+mn-ea"/>
              <a:cs typeface="+mn-cs"/>
            </a:defRPr>
          </a:pPr>
          <a:endParaRPr lang="en-US"/>
        </a:p>
      </c:txPr>
    </c:legend>
    <c:plotVisOnly val="1"/>
    <c:dispBlanksAs val="zero"/>
  </c:chart>
  <c:spPr>
    <a:pattFill prst="dkDnDiag">
      <a:fgClr>
        <a:srgbClr val="F2F2F2"/>
      </a:fgClr>
      <a:bgClr>
        <a:srgbClr val="FFFFFF"/>
      </a:bgClr>
    </a:pattFill>
    <a:ln w="3170">
      <a:solidFill>
        <a:srgbClr val="C0C0C0"/>
      </a:solidFill>
      <a:prstDash val="solid"/>
    </a:ln>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399" b="1" i="0" u="none" strike="noStrike" kern="1200" cap="none" baseline="0">
                <a:solidFill>
                  <a:schemeClr val="lt1">
                    <a:lumMod val="85000"/>
                  </a:schemeClr>
                </a:solidFill>
                <a:latin typeface="+mn-lt"/>
                <a:ea typeface="+mn-ea"/>
                <a:cs typeface="+mn-cs"/>
              </a:defRPr>
            </a:pPr>
            <a:r>
              <a:rPr lang="en-US"/>
              <a:t>Pjesëmarrja/certifikimi për vitin akademik 2015-2016</a:t>
            </a:r>
          </a:p>
        </c:rich>
      </c:tx>
      <c:spPr>
        <a:noFill/>
        <a:ln w="25374">
          <a:noFill/>
        </a:ln>
      </c:spPr>
    </c:title>
    <c:plotArea>
      <c:layout/>
      <c:barChart>
        <c:barDir val="bar"/>
        <c:grouping val="clustered"/>
        <c:ser>
          <c:idx val="0"/>
          <c:order val="0"/>
          <c:tx>
            <c:strRef>
              <c:f>Sheet1!$B$1</c:f>
              <c:strCache>
                <c:ptCount val="1"/>
                <c:pt idx="0">
                  <c:v>ardhur</c:v>
                </c:pt>
              </c:strCache>
            </c:strRef>
          </c:tx>
          <c:spPr>
            <a:noFill/>
            <a:ln w="3172">
              <a:solidFill>
                <a:srgbClr val="33CCCC"/>
              </a:solidFill>
              <a:prstDash val="solid"/>
            </a:ln>
          </c:spPr>
          <c:cat>
            <c:strRef>
              <c:f>Sheet1!$A$2:$A$11</c:f>
              <c:strCache>
                <c:ptCount val="10"/>
                <c:pt idx="0">
                  <c:v>gjyqtar</c:v>
                </c:pt>
                <c:pt idx="1">
                  <c:v>prokuror</c:v>
                </c:pt>
                <c:pt idx="2">
                  <c:v>kand.magjistrat</c:v>
                </c:pt>
                <c:pt idx="3">
                  <c:v>OPGj</c:v>
                </c:pt>
                <c:pt idx="4">
                  <c:v>inspektor KLD</c:v>
                </c:pt>
                <c:pt idx="5">
                  <c:v>avokat</c:v>
                </c:pt>
                <c:pt idx="6">
                  <c:v>nd.ligjor</c:v>
                </c:pt>
                <c:pt idx="7">
                  <c:v>jurist</c:v>
                </c:pt>
                <c:pt idx="8">
                  <c:v>pedagog</c:v>
                </c:pt>
                <c:pt idx="9">
                  <c:v>tjetër</c:v>
                </c:pt>
              </c:strCache>
            </c:strRef>
          </c:cat>
          <c:val>
            <c:numRef>
              <c:f>Sheet1!$B$2:$B$11</c:f>
              <c:numCache>
                <c:formatCode>General</c:formatCode>
                <c:ptCount val="10"/>
                <c:pt idx="0">
                  <c:v>1296</c:v>
                </c:pt>
                <c:pt idx="1">
                  <c:v>282</c:v>
                </c:pt>
                <c:pt idx="2">
                  <c:v>52</c:v>
                </c:pt>
                <c:pt idx="3">
                  <c:v>21</c:v>
                </c:pt>
                <c:pt idx="4">
                  <c:v>11</c:v>
                </c:pt>
                <c:pt idx="5">
                  <c:v>35</c:v>
                </c:pt>
                <c:pt idx="6">
                  <c:v>124</c:v>
                </c:pt>
                <c:pt idx="7">
                  <c:v>2</c:v>
                </c:pt>
                <c:pt idx="8">
                  <c:v>5</c:v>
                </c:pt>
                <c:pt idx="9">
                  <c:v>92</c:v>
                </c:pt>
              </c:numCache>
            </c:numRef>
          </c:val>
        </c:ser>
        <c:ser>
          <c:idx val="1"/>
          <c:order val="1"/>
          <c:tx>
            <c:strRef>
              <c:f>Sheet1!$C$1</c:f>
              <c:strCache>
                <c:ptCount val="1"/>
                <c:pt idx="0">
                  <c:v>certifikuar</c:v>
                </c:pt>
              </c:strCache>
            </c:strRef>
          </c:tx>
          <c:spPr>
            <a:noFill/>
            <a:ln w="3172">
              <a:solidFill>
                <a:srgbClr val="FF6600"/>
              </a:solidFill>
              <a:prstDash val="solid"/>
            </a:ln>
          </c:spPr>
          <c:cat>
            <c:strRef>
              <c:f>Sheet1!$A$2:$A$11</c:f>
              <c:strCache>
                <c:ptCount val="10"/>
                <c:pt idx="0">
                  <c:v>gjyqtar</c:v>
                </c:pt>
                <c:pt idx="1">
                  <c:v>prokuror</c:v>
                </c:pt>
                <c:pt idx="2">
                  <c:v>kand.magjistrat</c:v>
                </c:pt>
                <c:pt idx="3">
                  <c:v>OPGj</c:v>
                </c:pt>
                <c:pt idx="4">
                  <c:v>inspektor KLD</c:v>
                </c:pt>
                <c:pt idx="5">
                  <c:v>avokat</c:v>
                </c:pt>
                <c:pt idx="6">
                  <c:v>nd.ligjor</c:v>
                </c:pt>
                <c:pt idx="7">
                  <c:v>jurist</c:v>
                </c:pt>
                <c:pt idx="8">
                  <c:v>pedagog</c:v>
                </c:pt>
                <c:pt idx="9">
                  <c:v>tjetër</c:v>
                </c:pt>
              </c:strCache>
            </c:strRef>
          </c:cat>
          <c:val>
            <c:numRef>
              <c:f>Sheet1!$C$2:$C$11</c:f>
              <c:numCache>
                <c:formatCode>General</c:formatCode>
                <c:ptCount val="10"/>
                <c:pt idx="0">
                  <c:v>1149</c:v>
                </c:pt>
                <c:pt idx="1">
                  <c:v>247</c:v>
                </c:pt>
                <c:pt idx="2">
                  <c:v>52</c:v>
                </c:pt>
                <c:pt idx="3">
                  <c:v>15</c:v>
                </c:pt>
                <c:pt idx="4">
                  <c:v>9</c:v>
                </c:pt>
                <c:pt idx="5">
                  <c:v>3</c:v>
                </c:pt>
                <c:pt idx="6">
                  <c:v>96</c:v>
                </c:pt>
                <c:pt idx="7">
                  <c:v>1</c:v>
                </c:pt>
                <c:pt idx="8">
                  <c:v>2</c:v>
                </c:pt>
                <c:pt idx="9">
                  <c:v>78</c:v>
                </c:pt>
              </c:numCache>
            </c:numRef>
          </c:val>
        </c:ser>
        <c:gapWidth val="182"/>
        <c:overlap val="-50"/>
        <c:axId val="72562944"/>
        <c:axId val="72577024"/>
      </c:barChart>
      <c:catAx>
        <c:axId val="72562944"/>
        <c:scaling>
          <c:orientation val="minMax"/>
        </c:scaling>
        <c:axPos val="l"/>
        <c:majorGridlines>
          <c:spPr>
            <a:ln w="3172">
              <a:solidFill>
                <a:srgbClr val="333333"/>
              </a:solidFill>
              <a:prstDash val="solid"/>
            </a:ln>
          </c:spPr>
        </c:majorGridlines>
        <c:numFmt formatCode="General" sourceLinked="1"/>
        <c:majorTickMark val="none"/>
        <c:tickLblPos val="nextTo"/>
        <c:spPr>
          <a:ln w="6343">
            <a:noFill/>
          </a:ln>
        </c:spPr>
        <c:txPr>
          <a:bodyPr rot="-60000000" spcFirstLastPara="1" vertOverflow="ellipsis" vert="horz" wrap="square" anchor="ctr" anchorCtr="1"/>
          <a:lstStyle/>
          <a:p>
            <a:pPr>
              <a:defRPr lang="en-US" sz="899" b="0" i="0" u="none" strike="noStrike" kern="1200" baseline="0">
                <a:solidFill>
                  <a:schemeClr val="lt1">
                    <a:lumMod val="75000"/>
                  </a:schemeClr>
                </a:solidFill>
                <a:latin typeface="+mn-lt"/>
                <a:ea typeface="+mn-ea"/>
                <a:cs typeface="+mn-cs"/>
              </a:defRPr>
            </a:pPr>
            <a:endParaRPr lang="en-US"/>
          </a:p>
        </c:txPr>
        <c:crossAx val="72577024"/>
        <c:crosses val="autoZero"/>
        <c:auto val="1"/>
        <c:lblAlgn val="ctr"/>
        <c:lblOffset val="100"/>
      </c:catAx>
      <c:valAx>
        <c:axId val="72577024"/>
        <c:scaling>
          <c:orientation val="minMax"/>
        </c:scaling>
        <c:axPos val="b"/>
        <c:majorGridlines>
          <c:spPr>
            <a:ln w="3172">
              <a:solidFill>
                <a:srgbClr val="333333"/>
              </a:solidFill>
              <a:prstDash val="solid"/>
            </a:ln>
          </c:spPr>
        </c:majorGridlines>
        <c:numFmt formatCode="General" sourceLinked="1"/>
        <c:majorTickMark val="none"/>
        <c:tickLblPos val="nextTo"/>
        <c:spPr>
          <a:ln w="6343">
            <a:noFill/>
          </a:ln>
        </c:spPr>
        <c:txPr>
          <a:bodyPr rot="-60000000" spcFirstLastPara="1" vertOverflow="ellipsis" vert="horz" wrap="square" anchor="ctr" anchorCtr="1"/>
          <a:lstStyle/>
          <a:p>
            <a:pPr>
              <a:defRPr lang="en-US" sz="899" b="0" i="0" u="none" strike="noStrike" kern="1200" baseline="0">
                <a:solidFill>
                  <a:schemeClr val="lt1">
                    <a:lumMod val="75000"/>
                  </a:schemeClr>
                </a:solidFill>
                <a:latin typeface="+mn-lt"/>
                <a:ea typeface="+mn-ea"/>
                <a:cs typeface="+mn-cs"/>
              </a:defRPr>
            </a:pPr>
            <a:endParaRPr lang="en-US"/>
          </a:p>
        </c:txPr>
        <c:crossAx val="72562944"/>
        <c:crosses val="autoZero"/>
        <c:crossBetween val="between"/>
      </c:valAx>
      <c:dTable>
        <c:showHorzBorder val="1"/>
        <c:showVertBorder val="1"/>
        <c:showOutline val="1"/>
        <c:showKeys val="1"/>
        <c:spPr>
          <a:ln w="3172">
            <a:solidFill>
              <a:srgbClr val="808080"/>
            </a:solidFill>
            <a:prstDash val="solid"/>
          </a:ln>
        </c:spPr>
        <c:txPr>
          <a:bodyPr rot="0" spcFirstLastPara="1" vertOverflow="ellipsis" vert="horz" wrap="square" anchor="ctr" anchorCtr="1"/>
          <a:lstStyle/>
          <a:p>
            <a:pPr rtl="0">
              <a:defRPr lang="en-US" sz="899" b="0" i="0" u="none" strike="noStrike" kern="1200" baseline="0">
                <a:solidFill>
                  <a:schemeClr val="lt1">
                    <a:lumMod val="75000"/>
                  </a:schemeClr>
                </a:solidFill>
                <a:latin typeface="+mn-lt"/>
                <a:ea typeface="+mn-ea"/>
                <a:cs typeface="+mn-cs"/>
              </a:defRPr>
            </a:pPr>
            <a:endParaRPr lang="en-US"/>
          </a:p>
        </c:txPr>
      </c:dTable>
      <c:spPr>
        <a:noFill/>
        <a:ln w="25413">
          <a:noFill/>
        </a:ln>
      </c:spPr>
    </c:plotArea>
    <c:legend>
      <c:legendPos val="r"/>
      <c:layout>
        <c:manualLayout>
          <c:xMode val="edge"/>
          <c:yMode val="edge"/>
          <c:x val="0.38726333907056798"/>
          <c:y val="9.3484419263456187E-2"/>
          <c:w val="0.22547332185886404"/>
          <c:h val="7.3654390934844244E-2"/>
        </c:manualLayout>
      </c:layout>
      <c:spPr>
        <a:noFill/>
        <a:ln w="25374">
          <a:noFill/>
        </a:ln>
      </c:spPr>
      <c:txPr>
        <a:bodyPr rot="0" spcFirstLastPara="1" vertOverflow="ellipsis" vert="horz" wrap="square" anchor="ctr" anchorCtr="1"/>
        <a:lstStyle/>
        <a:p>
          <a:pPr>
            <a:defRPr lang="en-US" sz="899" b="0" i="0" u="none" strike="noStrike" kern="1200" baseline="0">
              <a:solidFill>
                <a:schemeClr val="lt1">
                  <a:lumMod val="75000"/>
                </a:schemeClr>
              </a:solidFill>
              <a:latin typeface="+mn-lt"/>
              <a:ea typeface="+mn-ea"/>
              <a:cs typeface="+mn-cs"/>
            </a:defRPr>
          </a:pPr>
          <a:endParaRPr lang="en-US"/>
        </a:p>
      </c:txPr>
    </c:legend>
    <c:plotVisOnly val="1"/>
    <c:dispBlanksAs val="gap"/>
  </c:chart>
  <c:spPr>
    <a:solidFill>
      <a:srgbClr val="404040"/>
    </a:solidFill>
    <a:ln w="3172">
      <a:solidFill>
        <a:srgbClr val="C0C0C0"/>
      </a:solidFill>
      <a:prstDash val="solid"/>
    </a:ln>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a:lstStyle/>
          <a:p>
            <a:pPr>
              <a:defRPr sz="1792" b="1" i="0" u="none" strike="noStrike" baseline="0">
                <a:solidFill>
                  <a:srgbClr val="333333"/>
                </a:solidFill>
                <a:latin typeface="Calibri"/>
                <a:ea typeface="Calibri"/>
                <a:cs typeface="Calibri"/>
              </a:defRPr>
            </a:pPr>
            <a:r>
              <a:rPr lang="en-GB"/>
              <a:t>Certifikimi gjyqtarë</a:t>
            </a:r>
          </a:p>
        </c:rich>
      </c:tx>
      <c:spPr>
        <a:noFill/>
        <a:ln w="25312">
          <a:noFill/>
        </a:ln>
      </c:spPr>
    </c:title>
    <c:view3D>
      <c:rotX val="50"/>
      <c:perspective val="0"/>
    </c:view3D>
    <c:plotArea>
      <c:layout/>
      <c:pie3DChart>
        <c:varyColors val="1"/>
        <c:ser>
          <c:idx val="0"/>
          <c:order val="0"/>
          <c:tx>
            <c:strRef>
              <c:f>Sheet1!$B$1</c:f>
              <c:strCache>
                <c:ptCount val="1"/>
                <c:pt idx="0">
                  <c:v>Frekuentimi gjyqtarë</c:v>
                </c:pt>
              </c:strCache>
            </c:strRef>
          </c:tx>
          <c:spPr>
            <a:solidFill>
              <a:srgbClr val="5B9BD5"/>
            </a:solidFill>
            <a:ln w="25356">
              <a:noFill/>
            </a:ln>
            <a:effectLst>
              <a:outerShdw dist="35921" dir="2700000" algn="br">
                <a:srgbClr val="000000"/>
              </a:outerShdw>
            </a:effectLst>
          </c:spPr>
          <c:dPt>
            <c:idx val="1"/>
            <c:spPr>
              <a:solidFill>
                <a:srgbClr val="ED7D31"/>
              </a:solidFill>
              <a:ln w="25356">
                <a:noFill/>
              </a:ln>
              <a:effectLst>
                <a:outerShdw dist="35921" dir="2700000" algn="br">
                  <a:srgbClr val="000000"/>
                </a:outerShdw>
              </a:effectLst>
            </c:spPr>
          </c:dPt>
          <c:dLbls>
            <c:spPr>
              <a:pattFill prst="pct75">
                <a:fgClr>
                  <a:srgbClr val="404040"/>
                </a:fgClr>
                <a:bgClr>
                  <a:srgbClr val="595959"/>
                </a:bgClr>
              </a:pattFill>
              <a:ln w="25356">
                <a:noFill/>
              </a:ln>
              <a:effectLst>
                <a:outerShdw dist="35921" dir="2700000" algn="br">
                  <a:srgbClr val="000000"/>
                </a:outerShdw>
              </a:effectLst>
            </c:spPr>
            <c:txPr>
              <a:bodyPr/>
              <a:lstStyle/>
              <a:p>
                <a:pPr>
                  <a:defRPr sz="998" b="1" i="0" u="none" strike="noStrike" baseline="0">
                    <a:solidFill>
                      <a:srgbClr val="FFFFFF"/>
                    </a:solidFill>
                    <a:latin typeface="Calibri"/>
                    <a:ea typeface="Calibri"/>
                    <a:cs typeface="Calibri"/>
                  </a:defRPr>
                </a:pPr>
                <a:endParaRPr lang="en-US"/>
              </a:p>
            </c:txPr>
            <c:dLblPos val="ctr"/>
            <c:showVal val="1"/>
            <c:showPercent val="1"/>
            <c:showLeaderLines val="1"/>
            <c:leaderLines>
              <c:spPr>
                <a:ln w="3164">
                  <a:solidFill>
                    <a:srgbClr val="808080"/>
                  </a:solidFill>
                  <a:prstDash val="solid"/>
                </a:ln>
              </c:spPr>
            </c:leaderLines>
          </c:dLbls>
          <c:cat>
            <c:strRef>
              <c:f>Sheet1!$A$2:$A$3</c:f>
              <c:strCache>
                <c:ptCount val="2"/>
                <c:pt idx="0">
                  <c:v>ardhur por te pacertifikuar</c:v>
                </c:pt>
                <c:pt idx="1">
                  <c:v>certifikuar</c:v>
                </c:pt>
              </c:strCache>
            </c:strRef>
          </c:cat>
          <c:val>
            <c:numRef>
              <c:f>Sheet1!$B$2:$B$3</c:f>
              <c:numCache>
                <c:formatCode>General</c:formatCode>
                <c:ptCount val="2"/>
                <c:pt idx="0">
                  <c:v>147</c:v>
                </c:pt>
                <c:pt idx="1">
                  <c:v>1149</c:v>
                </c:pt>
              </c:numCache>
            </c:numRef>
          </c:val>
        </c:ser>
      </c:pie3DChart>
      <c:spPr>
        <a:noFill/>
        <a:ln w="25356">
          <a:noFill/>
        </a:ln>
      </c:spPr>
    </c:plotArea>
    <c:legend>
      <c:legendPos val="r"/>
      <c:layout>
        <c:manualLayout>
          <c:xMode val="edge"/>
          <c:yMode val="edge"/>
          <c:x val="0.81456991699082704"/>
          <c:y val="0.47846886104225295"/>
          <c:w val="0.16184515991701298"/>
          <c:h val="0.1626795735977514"/>
        </c:manualLayout>
      </c:layout>
      <c:spPr>
        <a:solidFill>
          <a:srgbClr val="F2F2F2">
            <a:alpha val="38824"/>
          </a:srgbClr>
        </a:solidFill>
        <a:ln w="25312">
          <a:noFill/>
        </a:ln>
      </c:spPr>
      <c:txPr>
        <a:bodyPr/>
        <a:lstStyle/>
        <a:p>
          <a:pPr>
            <a:defRPr sz="824" b="0" i="0" u="none" strike="noStrike" baseline="0">
              <a:solidFill>
                <a:srgbClr val="333333"/>
              </a:solidFill>
              <a:latin typeface="Calibri"/>
              <a:ea typeface="Calibri"/>
              <a:cs typeface="Calibri"/>
            </a:defRPr>
          </a:pPr>
          <a:endParaRPr lang="en-US"/>
        </a:p>
      </c:txPr>
    </c:legend>
    <c:plotVisOnly val="1"/>
    <c:dispBlanksAs val="zero"/>
  </c:chart>
  <c:spPr>
    <a:gradFill rotWithShape="0">
      <a:gsLst>
        <a:gs pos="0">
          <a:srgbClr val="FFFFFF"/>
        </a:gs>
        <a:gs pos="39000">
          <a:srgbClr val="FFFFFF"/>
        </a:gs>
        <a:gs pos="100000">
          <a:srgbClr val="BFBFBF"/>
        </a:gs>
      </a:gsLst>
      <a:path path="rect">
        <a:fillToRect l="50000" t="-80000" r="50000" b="180000"/>
      </a:path>
    </a:gradFill>
    <a:ln w="3164">
      <a:solidFill>
        <a:srgbClr val="C0C0C0"/>
      </a:solidFill>
      <a:prstDash val="solid"/>
    </a:ln>
  </c:spPr>
  <c:txPr>
    <a:bodyPr/>
    <a:lstStyle/>
    <a:p>
      <a:pPr>
        <a:defRPr sz="998" b="0" i="0" u="none" strike="noStrike" baseline="0">
          <a:solidFill>
            <a:srgbClr val="000000"/>
          </a:solidFill>
          <a:latin typeface="Calibri"/>
          <a:ea typeface="Calibri"/>
          <a:cs typeface="Calibri"/>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spPr>
        <a:noFill/>
        <a:ln w="25356">
          <a:noFill/>
        </a:ln>
      </c:spPr>
      <c:txPr>
        <a:bodyPr rot="0" spcFirstLastPara="1" vertOverflow="ellipsis" vert="horz" wrap="square" anchor="ctr" anchorCtr="1"/>
        <a:lstStyle/>
        <a:p>
          <a:pPr>
            <a:defRPr lang="en-US" sz="1797" b="1" i="0" u="none" strike="noStrike" kern="1200" baseline="0">
              <a:solidFill>
                <a:schemeClr val="dk1">
                  <a:lumMod val="75000"/>
                  <a:lumOff val="25000"/>
                </a:schemeClr>
              </a:solidFill>
              <a:latin typeface="+mn-lt"/>
              <a:ea typeface="+mn-ea"/>
              <a:cs typeface="+mn-cs"/>
            </a:defRPr>
          </a:pPr>
          <a:endParaRPr lang="en-US"/>
        </a:p>
      </c:txPr>
    </c:title>
    <c:view3D>
      <c:rotX val="50"/>
      <c:perspective val="0"/>
    </c:view3D>
    <c:plotArea>
      <c:layout/>
      <c:pie3DChart>
        <c:varyColors val="1"/>
        <c:ser>
          <c:idx val="0"/>
          <c:order val="0"/>
          <c:tx>
            <c:strRef>
              <c:f>Sheet1!$B$1</c:f>
              <c:strCache>
                <c:ptCount val="1"/>
                <c:pt idx="0">
                  <c:v>Frekuentimi prokurorë</c:v>
                </c:pt>
              </c:strCache>
            </c:strRef>
          </c:tx>
          <c:spPr>
            <a:solidFill>
              <a:srgbClr val="5B9BD5"/>
            </a:solidFill>
            <a:ln w="25389">
              <a:noFill/>
            </a:ln>
            <a:effectLst>
              <a:outerShdw dist="35921" dir="2700000" algn="br">
                <a:srgbClr val="000000"/>
              </a:outerShdw>
            </a:effectLst>
          </c:spPr>
          <c:dPt>
            <c:idx val="1"/>
            <c:spPr>
              <a:solidFill>
                <a:srgbClr val="ED7D31"/>
              </a:solidFill>
              <a:ln w="25389">
                <a:noFill/>
              </a:ln>
              <a:effectLst>
                <a:outerShdw dist="35921" dir="2700000" algn="br">
                  <a:srgbClr val="000000"/>
                </a:outerShdw>
              </a:effectLst>
            </c:spPr>
          </c:dPt>
          <c:dLbls>
            <c:spPr>
              <a:pattFill prst="pct75">
                <a:fgClr>
                  <a:srgbClr val="404040"/>
                </a:fgClr>
                <a:bgClr>
                  <a:srgbClr val="595959"/>
                </a:bgClr>
              </a:pattFill>
              <a:ln w="25389">
                <a:noFill/>
              </a:ln>
              <a:effectLst>
                <a:outerShdw dist="35921" dir="2700000" algn="br">
                  <a:srgbClr val="000000"/>
                </a:outerShdw>
              </a:effectLst>
            </c:spPr>
            <c:txPr>
              <a:bodyPr rot="0" spcFirstLastPara="1" vertOverflow="ellipsis" vert="horz" wrap="square" lIns="38100" tIns="19050" rIns="38100" bIns="19050" anchor="ctr" anchorCtr="1">
                <a:spAutoFit/>
              </a:bodyPr>
              <a:lstStyle/>
              <a:p>
                <a:pPr>
                  <a:defRPr lang="en-US" sz="999" b="1" i="0" u="none" strike="noStrike" kern="1200" baseline="0">
                    <a:solidFill>
                      <a:schemeClr val="lt1"/>
                    </a:solidFill>
                    <a:latin typeface="+mn-lt"/>
                    <a:ea typeface="+mn-ea"/>
                    <a:cs typeface="+mn-cs"/>
                  </a:defRPr>
                </a:pPr>
                <a:endParaRPr lang="en-US"/>
              </a:p>
            </c:txPr>
            <c:dLblPos val="ctr"/>
            <c:showVal val="1"/>
            <c:showPercent val="1"/>
            <c:showLeaderLines val="1"/>
            <c:leaderLines>
              <c:spPr>
                <a:ln w="3170">
                  <a:solidFill>
                    <a:srgbClr val="808080"/>
                  </a:solidFill>
                  <a:prstDash val="solid"/>
                </a:ln>
              </c:spPr>
            </c:leaderLines>
            <c:extLst>
              <c:ext xmlns:c15="http://schemas.microsoft.com/office/drawing/2012/chart" uri="{CE6537A1-D6FC-4f65-9D91-7224C49458BB}"/>
            </c:extLst>
          </c:dLbls>
          <c:cat>
            <c:strRef>
              <c:f>Sheet1!$A$2:$A$3</c:f>
              <c:strCache>
                <c:ptCount val="2"/>
                <c:pt idx="0">
                  <c:v>ardhur</c:v>
                </c:pt>
                <c:pt idx="1">
                  <c:v>certifikuar</c:v>
                </c:pt>
              </c:strCache>
            </c:strRef>
          </c:cat>
          <c:val>
            <c:numRef>
              <c:f>Sheet1!$B$2:$B$3</c:f>
              <c:numCache>
                <c:formatCode>General</c:formatCode>
                <c:ptCount val="2"/>
                <c:pt idx="0">
                  <c:v>282</c:v>
                </c:pt>
                <c:pt idx="1">
                  <c:v>247</c:v>
                </c:pt>
              </c:numCache>
            </c:numRef>
          </c:val>
        </c:ser>
      </c:pie3DChart>
      <c:spPr>
        <a:noFill/>
        <a:ln w="25389">
          <a:noFill/>
        </a:ln>
      </c:spPr>
    </c:plotArea>
    <c:legend>
      <c:legendPos val="r"/>
      <c:layout>
        <c:manualLayout>
          <c:xMode val="edge"/>
          <c:yMode val="edge"/>
          <c:x val="0.852112676056338"/>
          <c:y val="0.46483180428134557"/>
          <c:w val="0.125"/>
          <c:h val="0.16207951070336388"/>
        </c:manualLayout>
      </c:layout>
      <c:spPr>
        <a:solidFill>
          <a:srgbClr val="F2F2F2">
            <a:alpha val="38824"/>
          </a:srgbClr>
        </a:solidFill>
        <a:ln w="25356">
          <a:noFill/>
        </a:ln>
      </c:spPr>
      <c:txPr>
        <a:bodyPr rot="0" spcFirstLastPara="1" vertOverflow="ellipsis" vert="horz" wrap="square" anchor="ctr" anchorCtr="1"/>
        <a:lstStyle/>
        <a:p>
          <a:pPr>
            <a:defRPr lang="en-US" sz="899"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rotWithShape="0">
      <a:gsLst>
        <a:gs pos="0">
          <a:srgbClr val="FFFFFF"/>
        </a:gs>
        <a:gs pos="39000">
          <a:srgbClr val="FFFFFF"/>
        </a:gs>
        <a:gs pos="100000">
          <a:srgbClr val="BFBFBF"/>
        </a:gs>
      </a:gsLst>
      <a:path path="rect">
        <a:fillToRect l="50000" t="-80000" r="50000" b="180000"/>
      </a:path>
    </a:gradFill>
    <a:ln w="3170">
      <a:solidFill>
        <a:srgbClr val="C0C0C0"/>
      </a:solidFill>
      <a:prstDash val="solid"/>
    </a:ln>
  </c:spPr>
  <c:txPr>
    <a:bodyPr/>
    <a:lstStyle/>
    <a:p>
      <a:pPr>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spPr>
        <a:noFill/>
        <a:ln w="25356">
          <a:noFill/>
        </a:ln>
      </c:spPr>
      <c:txPr>
        <a:bodyPr rot="0" spcFirstLastPara="1" vertOverflow="ellipsis" vert="horz" wrap="square" anchor="ctr" anchorCtr="1"/>
        <a:lstStyle/>
        <a:p>
          <a:pPr>
            <a:defRPr lang="en-US" sz="1797" b="1" i="0" u="none" strike="noStrike" kern="1200" baseline="0">
              <a:solidFill>
                <a:schemeClr val="dk1">
                  <a:lumMod val="75000"/>
                  <a:lumOff val="25000"/>
                </a:schemeClr>
              </a:solidFill>
              <a:latin typeface="+mn-lt"/>
              <a:ea typeface="+mn-ea"/>
              <a:cs typeface="+mn-cs"/>
            </a:defRPr>
          </a:pPr>
          <a:endParaRPr lang="en-US"/>
        </a:p>
      </c:txPr>
    </c:title>
    <c:view3D>
      <c:rotX val="50"/>
      <c:perspective val="0"/>
    </c:view3D>
    <c:plotArea>
      <c:layout/>
      <c:pie3DChart>
        <c:varyColors val="1"/>
        <c:ser>
          <c:idx val="0"/>
          <c:order val="0"/>
          <c:tx>
            <c:strRef>
              <c:f>Sheet1!$B$1</c:f>
              <c:strCache>
                <c:ptCount val="1"/>
                <c:pt idx="0">
                  <c:v>Grafik në përqindje I frekuentimit gjyqtarë/prokurorë për vitin akademik 2015-2016</c:v>
                </c:pt>
              </c:strCache>
            </c:strRef>
          </c:tx>
          <c:spPr>
            <a:solidFill>
              <a:srgbClr val="5B9BD5"/>
            </a:solidFill>
            <a:ln w="25389">
              <a:noFill/>
            </a:ln>
            <a:effectLst>
              <a:outerShdw dist="35921" dir="2700000" algn="br">
                <a:srgbClr val="000000"/>
              </a:outerShdw>
            </a:effectLst>
          </c:spPr>
          <c:dPt>
            <c:idx val="1"/>
            <c:spPr>
              <a:solidFill>
                <a:srgbClr val="ED7D31"/>
              </a:solidFill>
              <a:ln w="25389">
                <a:noFill/>
              </a:ln>
              <a:effectLst>
                <a:outerShdw dist="35921" dir="2700000" algn="br">
                  <a:srgbClr val="000000"/>
                </a:outerShdw>
              </a:effectLst>
            </c:spPr>
          </c:dPt>
          <c:dLbls>
            <c:spPr>
              <a:pattFill prst="pct75">
                <a:fgClr>
                  <a:srgbClr val="404040"/>
                </a:fgClr>
                <a:bgClr>
                  <a:srgbClr val="595959"/>
                </a:bgClr>
              </a:pattFill>
              <a:ln w="25389">
                <a:noFill/>
              </a:ln>
              <a:effectLst>
                <a:outerShdw dist="35921" dir="2700000" algn="br">
                  <a:srgbClr val="000000"/>
                </a:outerShdw>
              </a:effectLst>
            </c:spPr>
            <c:txPr>
              <a:bodyPr rot="0" spcFirstLastPara="1" vertOverflow="ellipsis" vert="horz" wrap="square" lIns="38100" tIns="19050" rIns="38100" bIns="19050" anchor="ctr" anchorCtr="1">
                <a:spAutoFit/>
              </a:bodyPr>
              <a:lstStyle/>
              <a:p>
                <a:pPr>
                  <a:defRPr lang="en-US" sz="999" b="1" i="0" u="none" strike="noStrike" kern="1200" baseline="0">
                    <a:solidFill>
                      <a:schemeClr val="lt1"/>
                    </a:solidFill>
                    <a:latin typeface="+mn-lt"/>
                    <a:ea typeface="+mn-ea"/>
                    <a:cs typeface="+mn-cs"/>
                  </a:defRPr>
                </a:pPr>
                <a:endParaRPr lang="en-US"/>
              </a:p>
            </c:txPr>
            <c:dLblPos val="ctr"/>
            <c:showPercent val="1"/>
            <c:showLeaderLines val="1"/>
            <c:leaderLines>
              <c:spPr>
                <a:ln w="3170">
                  <a:solidFill>
                    <a:srgbClr val="808080"/>
                  </a:solidFill>
                  <a:prstDash val="solid"/>
                </a:ln>
              </c:spPr>
            </c:leaderLines>
            <c:extLst>
              <c:ext xmlns:c15="http://schemas.microsoft.com/office/drawing/2012/chart" uri="{CE6537A1-D6FC-4f65-9D91-7224C49458BB}"/>
            </c:extLst>
          </c:dLbls>
          <c:cat>
            <c:strRef>
              <c:f>Sheet1!$A$2:$A$3</c:f>
              <c:strCache>
                <c:ptCount val="2"/>
                <c:pt idx="0">
                  <c:v>gjyqtarë</c:v>
                </c:pt>
                <c:pt idx="1">
                  <c:v>prokurorë</c:v>
                </c:pt>
              </c:strCache>
            </c:strRef>
          </c:cat>
          <c:val>
            <c:numRef>
              <c:f>Sheet1!$B$2:$B$3</c:f>
              <c:numCache>
                <c:formatCode>General</c:formatCode>
                <c:ptCount val="2"/>
                <c:pt idx="0">
                  <c:v>1296</c:v>
                </c:pt>
                <c:pt idx="1">
                  <c:v>282</c:v>
                </c:pt>
              </c:numCache>
            </c:numRef>
          </c:val>
        </c:ser>
      </c:pie3DChart>
      <c:spPr>
        <a:noFill/>
        <a:ln w="25389">
          <a:noFill/>
        </a:ln>
      </c:spPr>
    </c:plotArea>
    <c:legend>
      <c:legendPos val="r"/>
      <c:layout>
        <c:manualLayout>
          <c:xMode val="edge"/>
          <c:yMode val="edge"/>
          <c:x val="0.85915492957746453"/>
          <c:y val="0.52293577981651351"/>
          <c:w val="0.125"/>
          <c:h val="0.16207951070336388"/>
        </c:manualLayout>
      </c:layout>
      <c:spPr>
        <a:solidFill>
          <a:srgbClr val="F2F2F2">
            <a:alpha val="38824"/>
          </a:srgbClr>
        </a:solidFill>
        <a:ln w="25356">
          <a:noFill/>
        </a:ln>
      </c:spPr>
      <c:txPr>
        <a:bodyPr rot="0" spcFirstLastPara="1" vertOverflow="ellipsis" vert="horz" wrap="square" anchor="ctr" anchorCtr="1"/>
        <a:lstStyle/>
        <a:p>
          <a:pPr>
            <a:defRPr lang="en-US" sz="899"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rotWithShape="0">
      <a:gsLst>
        <a:gs pos="0">
          <a:srgbClr val="FFFFFF"/>
        </a:gs>
        <a:gs pos="39000">
          <a:srgbClr val="FFFFFF"/>
        </a:gs>
        <a:gs pos="100000">
          <a:srgbClr val="BFBFBF"/>
        </a:gs>
      </a:gsLst>
      <a:path path="rect">
        <a:fillToRect l="50000" t="-80000" r="50000" b="180000"/>
      </a:path>
    </a:gradFill>
    <a:ln w="3170">
      <a:solidFill>
        <a:srgbClr val="C0C0C0"/>
      </a:solidFill>
      <a:prstDash val="solid"/>
    </a:ln>
  </c:spPr>
  <c:txPr>
    <a:bodyPr/>
    <a:lstStyle/>
    <a:p>
      <a:pPr>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0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cs typeface="Calibri"/>
              </a:rPr>
              <a:t>Ditët e trajnimit për gjyqtarë dhe prokurorë për </a:t>
            </a:r>
          </a:p>
          <a:p>
            <a:pPr>
              <a:defRPr lang="en-US" sz="1000" b="0" i="0" u="none" strike="noStrike" baseline="0">
                <a:solidFill>
                  <a:srgbClr val="000000"/>
                </a:solidFill>
                <a:latin typeface="Calibri"/>
                <a:ea typeface="Calibri"/>
                <a:cs typeface="Calibri"/>
              </a:defRPr>
            </a:pPr>
            <a:r>
              <a:rPr lang="en-US" sz="1400" b="1" i="0" u="none" strike="noStrike" baseline="0">
                <a:solidFill>
                  <a:srgbClr val="000000"/>
                </a:solidFill>
                <a:latin typeface="Calibri"/>
                <a:cs typeface="Calibri"/>
              </a:rPr>
              <a:t>vitin akademik 2015-2016</a:t>
            </a:r>
          </a:p>
        </c:rich>
      </c:tx>
      <c:spPr>
        <a:noFill/>
        <a:ln w="25412">
          <a:noFill/>
        </a:ln>
      </c:spPr>
    </c:title>
    <c:plotArea>
      <c:layout/>
      <c:lineChart>
        <c:grouping val="standard"/>
        <c:ser>
          <c:idx val="0"/>
          <c:order val="0"/>
          <c:tx>
            <c:strRef>
              <c:f>Sheet1!$B$1</c:f>
              <c:strCache>
                <c:ptCount val="1"/>
                <c:pt idx="0">
                  <c:v>Gjyqtarë</c:v>
                </c:pt>
              </c:strCache>
            </c:strRef>
          </c:tx>
          <c:spPr>
            <a:ln w="25412">
              <a:solidFill>
                <a:srgbClr val="666699"/>
              </a:solidFill>
              <a:prstDash val="solid"/>
            </a:ln>
          </c:spPr>
          <c:marker>
            <c:spPr>
              <a:solidFill>
                <a:srgbClr val="4F81BD"/>
              </a:solidFill>
              <a:ln>
                <a:solidFill>
                  <a:srgbClr val="666699"/>
                </a:solidFill>
                <a:prstDash val="solid"/>
              </a:ln>
            </c:spPr>
          </c:marker>
          <c:cat>
            <c:strRef>
              <c:f>Sheet1!$A$2:$A$7</c:f>
              <c:strCache>
                <c:ptCount val="6"/>
                <c:pt idx="0">
                  <c:v>0-1 ditë</c:v>
                </c:pt>
                <c:pt idx="1">
                  <c:v>1-3 ditë</c:v>
                </c:pt>
                <c:pt idx="2">
                  <c:v>3-5 ditë</c:v>
                </c:pt>
                <c:pt idx="3">
                  <c:v>5-10 ditë</c:v>
                </c:pt>
                <c:pt idx="4">
                  <c:v>10-20 ditë</c:v>
                </c:pt>
                <c:pt idx="5">
                  <c:v>Mbi 20 ditë</c:v>
                </c:pt>
              </c:strCache>
            </c:strRef>
          </c:cat>
          <c:val>
            <c:numRef>
              <c:f>Sheet1!$B$2:$B$7</c:f>
              <c:numCache>
                <c:formatCode>General</c:formatCode>
                <c:ptCount val="6"/>
                <c:pt idx="0">
                  <c:v>92</c:v>
                </c:pt>
                <c:pt idx="1">
                  <c:v>103</c:v>
                </c:pt>
                <c:pt idx="2">
                  <c:v>72</c:v>
                </c:pt>
                <c:pt idx="3">
                  <c:v>70</c:v>
                </c:pt>
                <c:pt idx="4">
                  <c:v>7</c:v>
                </c:pt>
                <c:pt idx="5">
                  <c:v>0</c:v>
                </c:pt>
              </c:numCache>
            </c:numRef>
          </c:val>
        </c:ser>
        <c:ser>
          <c:idx val="1"/>
          <c:order val="1"/>
          <c:tx>
            <c:strRef>
              <c:f>Sheet1!$C$1</c:f>
              <c:strCache>
                <c:ptCount val="1"/>
                <c:pt idx="0">
                  <c:v>Prokurorë</c:v>
                </c:pt>
              </c:strCache>
            </c:strRef>
          </c:tx>
          <c:spPr>
            <a:ln w="25412">
              <a:solidFill>
                <a:srgbClr val="DD2D32"/>
              </a:solidFill>
              <a:prstDash val="solid"/>
            </a:ln>
          </c:spPr>
          <c:marker>
            <c:spPr>
              <a:solidFill>
                <a:srgbClr val="C0504D"/>
              </a:solidFill>
              <a:ln>
                <a:solidFill>
                  <a:srgbClr val="DD2D32"/>
                </a:solidFill>
                <a:prstDash val="solid"/>
              </a:ln>
            </c:spPr>
          </c:marker>
          <c:cat>
            <c:strRef>
              <c:f>Sheet1!$A$2:$A$7</c:f>
              <c:strCache>
                <c:ptCount val="6"/>
                <c:pt idx="0">
                  <c:v>0-1 ditë</c:v>
                </c:pt>
                <c:pt idx="1">
                  <c:v>1-3 ditë</c:v>
                </c:pt>
                <c:pt idx="2">
                  <c:v>3-5 ditë</c:v>
                </c:pt>
                <c:pt idx="3">
                  <c:v>5-10 ditë</c:v>
                </c:pt>
                <c:pt idx="4">
                  <c:v>10-20 ditë</c:v>
                </c:pt>
                <c:pt idx="5">
                  <c:v>Mbi 20 ditë</c:v>
                </c:pt>
              </c:strCache>
            </c:strRef>
          </c:cat>
          <c:val>
            <c:numRef>
              <c:f>Sheet1!$C$2:$C$7</c:f>
              <c:numCache>
                <c:formatCode>General</c:formatCode>
                <c:ptCount val="6"/>
                <c:pt idx="0">
                  <c:v>122</c:v>
                </c:pt>
                <c:pt idx="1">
                  <c:v>33</c:v>
                </c:pt>
                <c:pt idx="2">
                  <c:v>14</c:v>
                </c:pt>
                <c:pt idx="3">
                  <c:v>6</c:v>
                </c:pt>
                <c:pt idx="4">
                  <c:v>0</c:v>
                </c:pt>
                <c:pt idx="5">
                  <c:v>0</c:v>
                </c:pt>
              </c:numCache>
            </c:numRef>
          </c:val>
        </c:ser>
        <c:ser>
          <c:idx val="2"/>
          <c:order val="2"/>
          <c:tx>
            <c:strRef>
              <c:f>Sheet1!$D$1</c:f>
              <c:strCache>
                <c:ptCount val="1"/>
                <c:pt idx="0">
                  <c:v>Column1</c:v>
                </c:pt>
              </c:strCache>
            </c:strRef>
          </c:tx>
          <c:spPr>
            <a:ln w="25412">
              <a:solidFill>
                <a:srgbClr val="99CC00"/>
              </a:solidFill>
              <a:prstDash val="solid"/>
            </a:ln>
          </c:spPr>
          <c:marker>
            <c:spPr>
              <a:solidFill>
                <a:srgbClr val="9BBB59"/>
              </a:solidFill>
              <a:ln>
                <a:solidFill>
                  <a:srgbClr val="99CC00"/>
                </a:solidFill>
                <a:prstDash val="solid"/>
              </a:ln>
            </c:spPr>
          </c:marker>
          <c:cat>
            <c:strRef>
              <c:f>Sheet1!$A$2:$A$7</c:f>
              <c:strCache>
                <c:ptCount val="6"/>
                <c:pt idx="0">
                  <c:v>0-1 ditë</c:v>
                </c:pt>
                <c:pt idx="1">
                  <c:v>1-3 ditë</c:v>
                </c:pt>
                <c:pt idx="2">
                  <c:v>3-5 ditë</c:v>
                </c:pt>
                <c:pt idx="3">
                  <c:v>5-10 ditë</c:v>
                </c:pt>
                <c:pt idx="4">
                  <c:v>10-20 ditë</c:v>
                </c:pt>
                <c:pt idx="5">
                  <c:v>Mbi 20 ditë</c:v>
                </c:pt>
              </c:strCache>
            </c:strRef>
          </c:cat>
          <c:val>
            <c:numRef>
              <c:f>Sheet1!$D$2:$D$7</c:f>
              <c:numCache>
                <c:formatCode>General</c:formatCode>
                <c:ptCount val="6"/>
              </c:numCache>
            </c:numRef>
          </c:val>
        </c:ser>
        <c:marker val="1"/>
        <c:axId val="72698496"/>
        <c:axId val="72999680"/>
      </c:lineChart>
      <c:catAx>
        <c:axId val="72698496"/>
        <c:scaling>
          <c:orientation val="minMax"/>
        </c:scaling>
        <c:axPos val="b"/>
        <c:numFmt formatCode="General" sourceLinked="1"/>
        <c:majorTickMark val="none"/>
        <c:tickLblPos val="nextTo"/>
        <c:spPr>
          <a:ln w="3177">
            <a:solidFill>
              <a:srgbClr val="808080"/>
            </a:solidFill>
            <a:prstDash val="solid"/>
          </a:ln>
        </c:spPr>
        <c:txPr>
          <a:bodyPr/>
          <a:lstStyle/>
          <a:p>
            <a:pPr>
              <a:defRPr lang="en-US"/>
            </a:pPr>
            <a:endParaRPr lang="en-US"/>
          </a:p>
        </c:txPr>
        <c:crossAx val="72999680"/>
        <c:crosses val="autoZero"/>
        <c:auto val="1"/>
        <c:lblAlgn val="ctr"/>
        <c:lblOffset val="100"/>
      </c:catAx>
      <c:valAx>
        <c:axId val="72999680"/>
        <c:scaling>
          <c:orientation val="minMax"/>
        </c:scaling>
        <c:axPos val="l"/>
        <c:majorGridlines>
          <c:spPr>
            <a:ln w="3177">
              <a:solidFill>
                <a:srgbClr val="808080"/>
              </a:solidFill>
              <a:prstDash val="solid"/>
            </a:ln>
          </c:spPr>
        </c:majorGridlines>
        <c:numFmt formatCode="General" sourceLinked="1"/>
        <c:majorTickMark val="none"/>
        <c:tickLblPos val="nextTo"/>
        <c:spPr>
          <a:ln w="9530">
            <a:noFill/>
          </a:ln>
        </c:spPr>
        <c:txPr>
          <a:bodyPr/>
          <a:lstStyle/>
          <a:p>
            <a:pPr>
              <a:defRPr lang="en-US"/>
            </a:pPr>
            <a:endParaRPr lang="en-US"/>
          </a:p>
        </c:txPr>
        <c:crossAx val="72698496"/>
        <c:crosses val="autoZero"/>
        <c:crossBetween val="between"/>
      </c:valAx>
      <c:spPr>
        <a:solidFill>
          <a:srgbClr val="B9CDE5"/>
        </a:solidFill>
        <a:ln w="25412">
          <a:noFill/>
        </a:ln>
      </c:spPr>
    </c:plotArea>
    <c:legend>
      <c:legendPos val="r"/>
      <c:legendEntry>
        <c:idx val="2"/>
        <c:delete val="1"/>
      </c:legendEntry>
      <c:spPr>
        <a:noFill/>
        <a:ln w="25399">
          <a:noFill/>
        </a:ln>
        <a:effectLst>
          <a:outerShdw dist="35921" dir="2700000" algn="br">
            <a:srgbClr val="000000"/>
          </a:outerShdw>
        </a:effectLst>
      </c:spPr>
      <c:txPr>
        <a:bodyPr/>
        <a:lstStyle/>
        <a:p>
          <a:pPr>
            <a:defRPr lang="en-US"/>
          </a:pPr>
          <a:endParaRPr lang="en-US"/>
        </a:p>
      </c:txPr>
    </c:legend>
    <c:plotVisOnly val="1"/>
    <c:dispBlanksAs val="gap"/>
  </c:chart>
  <c:spPr>
    <a:solidFill>
      <a:srgbClr val="F2F2F2"/>
    </a:solidFill>
    <a:ln w="3175">
      <a:solidFill>
        <a:srgbClr val="808080"/>
      </a:solidFill>
      <a:prstDash val="solid"/>
    </a:ln>
    <a:effectLst>
      <a:outerShdw dist="35921" dir="2700000" algn="br">
        <a:srgbClr val="000000"/>
      </a:outerShdw>
    </a:effectLst>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spPr>
        <a:noFill/>
        <a:ln w="25393">
          <a:noFill/>
        </a:ln>
      </c:spPr>
      <c:txPr>
        <a:bodyPr/>
        <a:lstStyle/>
        <a:p>
          <a:pPr>
            <a:defRPr lang="en-US"/>
          </a:pPr>
          <a:endParaRPr lang="en-US"/>
        </a:p>
      </c:txPr>
    </c:title>
    <c:view3D>
      <c:rotX val="30"/>
      <c:perspective val="30"/>
    </c:view3D>
    <c:plotArea>
      <c:layout>
        <c:manualLayout>
          <c:layoutTarget val="inner"/>
          <c:xMode val="edge"/>
          <c:yMode val="edge"/>
          <c:x val="7.7890602216389715E-2"/>
          <c:y val="0.25948631421072432"/>
          <c:w val="0.73398804316127264"/>
          <c:h val="0.64749562554680795"/>
        </c:manualLayout>
      </c:layout>
      <c:pie3DChart>
        <c:varyColors val="1"/>
        <c:ser>
          <c:idx val="0"/>
          <c:order val="0"/>
          <c:tx>
            <c:strRef>
              <c:f>Sheet1!$B$1</c:f>
              <c:strCache>
                <c:ptCount val="1"/>
                <c:pt idx="0">
                  <c:v>Ditët e trajnimit për çdo prokuror për vitin akademik 2015-2016</c:v>
                </c:pt>
              </c:strCache>
            </c:strRef>
          </c:tx>
          <c:spPr>
            <a:solidFill>
              <a:srgbClr val="4F81BD"/>
            </a:solidFill>
            <a:ln w="25393">
              <a:noFill/>
            </a:ln>
          </c:spPr>
          <c:explosion val="25"/>
          <c:dPt>
            <c:idx val="0"/>
            <c:spPr>
              <a:solidFill>
                <a:srgbClr val="4572A7"/>
              </a:solidFill>
              <a:ln w="25393">
                <a:noFill/>
              </a:ln>
            </c:spPr>
          </c:dPt>
          <c:dPt>
            <c:idx val="1"/>
            <c:spPr>
              <a:solidFill>
                <a:srgbClr val="AA4643"/>
              </a:solidFill>
              <a:ln w="25393">
                <a:noFill/>
              </a:ln>
            </c:spPr>
          </c:dPt>
          <c:dPt>
            <c:idx val="2"/>
            <c:spPr>
              <a:solidFill>
                <a:srgbClr val="89A54E"/>
              </a:solidFill>
              <a:ln w="25393">
                <a:noFill/>
              </a:ln>
            </c:spPr>
          </c:dPt>
          <c:dPt>
            <c:idx val="3"/>
            <c:spPr>
              <a:solidFill>
                <a:srgbClr val="71588F"/>
              </a:solidFill>
              <a:ln w="25393">
                <a:noFill/>
              </a:ln>
            </c:spPr>
          </c:dPt>
          <c:dPt>
            <c:idx val="4"/>
            <c:spPr>
              <a:solidFill>
                <a:srgbClr val="4198AF"/>
              </a:solidFill>
              <a:ln w="25393">
                <a:noFill/>
              </a:ln>
            </c:spPr>
          </c:dPt>
          <c:dPt>
            <c:idx val="5"/>
            <c:spPr>
              <a:solidFill>
                <a:srgbClr val="DB843D"/>
              </a:solidFill>
              <a:ln w="25393">
                <a:noFill/>
              </a:ln>
            </c:spPr>
          </c:dPt>
          <c:dLbls>
            <c:spPr>
              <a:noFill/>
              <a:ln w="25393">
                <a:noFill/>
              </a:ln>
            </c:spPr>
            <c:txPr>
              <a:bodyPr/>
              <a:lstStyle/>
              <a:p>
                <a:pPr>
                  <a:defRPr lang="en-US"/>
                </a:pPr>
                <a:endParaRPr lang="en-US"/>
              </a:p>
            </c:txPr>
            <c:showVal val="1"/>
            <c:showLeaderLines val="1"/>
            <c:extLst>
              <c:ext xmlns:c15="http://schemas.microsoft.com/office/drawing/2012/chart" uri="{CE6537A1-D6FC-4f65-9D91-7224C49458BB}"/>
            </c:extLst>
          </c:dLbls>
          <c:cat>
            <c:strRef>
              <c:f>Sheet1!$A$2:$A$7</c:f>
              <c:strCache>
                <c:ptCount val="6"/>
                <c:pt idx="0">
                  <c:v>0-1 ditë</c:v>
                </c:pt>
                <c:pt idx="1">
                  <c:v>1-3 ditë</c:v>
                </c:pt>
                <c:pt idx="2">
                  <c:v>3-5 ditë</c:v>
                </c:pt>
                <c:pt idx="3">
                  <c:v>5-10 ditë</c:v>
                </c:pt>
                <c:pt idx="4">
                  <c:v>10-20 ditë</c:v>
                </c:pt>
                <c:pt idx="5">
                  <c:v>Mbi 20 ditë</c:v>
                </c:pt>
              </c:strCache>
            </c:strRef>
          </c:cat>
          <c:val>
            <c:numRef>
              <c:f>Sheet1!$B$2:$B$7</c:f>
              <c:numCache>
                <c:formatCode>General</c:formatCode>
                <c:ptCount val="6"/>
                <c:pt idx="0">
                  <c:v>122</c:v>
                </c:pt>
                <c:pt idx="1">
                  <c:v>33</c:v>
                </c:pt>
                <c:pt idx="2">
                  <c:v>14</c:v>
                </c:pt>
                <c:pt idx="3">
                  <c:v>6</c:v>
                </c:pt>
                <c:pt idx="4">
                  <c:v>0</c:v>
                </c:pt>
                <c:pt idx="5">
                  <c:v>0</c:v>
                </c:pt>
              </c:numCache>
            </c:numRef>
          </c:val>
        </c:ser>
      </c:pie3DChart>
      <c:spPr>
        <a:solidFill>
          <a:srgbClr val="CCC1DA"/>
        </a:solidFill>
        <a:ln w="25393">
          <a:noFill/>
        </a:ln>
      </c:spPr>
    </c:plotArea>
    <c:legend>
      <c:legendPos val="r"/>
      <c:layout>
        <c:manualLayout>
          <c:xMode val="edge"/>
          <c:yMode val="edge"/>
          <c:x val="0.84228769497400369"/>
          <c:y val="0.33536585365853683"/>
          <c:w val="0.14384748700173336"/>
          <c:h val="0.44512195121951231"/>
        </c:manualLayout>
      </c:layout>
      <c:spPr>
        <a:noFill/>
        <a:ln w="25393">
          <a:noFill/>
        </a:ln>
      </c:spPr>
      <c:txPr>
        <a:bodyPr/>
        <a:lstStyle/>
        <a:p>
          <a:pPr>
            <a:defRPr lang="en-US"/>
          </a:pPr>
          <a:endParaRPr lang="en-US"/>
        </a:p>
      </c:txPr>
    </c:legend>
    <c:plotVisOnly val="1"/>
    <c:dispBlanksAs val="zero"/>
  </c:chart>
  <c:spPr>
    <a:solidFill>
      <a:srgbClr val="FFFFFF"/>
    </a:solidFill>
    <a:ln w="3174">
      <a:solidFill>
        <a:srgbClr val="808080"/>
      </a:solidFill>
      <a:prstDash val="solid"/>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a:lstStyle/>
          <a:p>
            <a:pPr>
              <a:defRPr lang="en-US"/>
            </a:pPr>
            <a:r>
              <a:rPr lang="en-US"/>
              <a:t>Ditët e trajnimit për çdo gjyqtar për vitin akademik 2015-2016</a:t>
            </a:r>
          </a:p>
        </c:rich>
      </c:tx>
      <c:spPr>
        <a:noFill/>
        <a:ln w="25382">
          <a:noFill/>
        </a:ln>
      </c:spPr>
    </c:title>
    <c:view3D>
      <c:rotX val="30"/>
      <c:perspective val="30"/>
    </c:view3D>
    <c:plotArea>
      <c:layout>
        <c:manualLayout>
          <c:layoutTarget val="inner"/>
          <c:xMode val="edge"/>
          <c:yMode val="edge"/>
          <c:x val="7.7890602216389715E-2"/>
          <c:y val="0.25948631421072432"/>
          <c:w val="0.73398804316127264"/>
          <c:h val="0.64749562554680795"/>
        </c:manualLayout>
      </c:layout>
      <c:pie3DChart>
        <c:varyColors val="1"/>
        <c:ser>
          <c:idx val="0"/>
          <c:order val="0"/>
          <c:tx>
            <c:strRef>
              <c:f>Sheet1!$B$1</c:f>
              <c:strCache>
                <c:ptCount val="1"/>
                <c:pt idx="0">
                  <c:v>Ditët e trajnimit për çdo gjyqtar për vitin akademik 2015-2016</c:v>
                </c:pt>
              </c:strCache>
            </c:strRef>
          </c:tx>
          <c:spPr>
            <a:solidFill>
              <a:srgbClr val="4F81BD"/>
            </a:solidFill>
            <a:ln w="25382">
              <a:noFill/>
            </a:ln>
          </c:spPr>
          <c:explosion val="25"/>
          <c:dPt>
            <c:idx val="0"/>
            <c:spPr>
              <a:solidFill>
                <a:srgbClr val="4572A7"/>
              </a:solidFill>
              <a:ln w="25382">
                <a:noFill/>
              </a:ln>
            </c:spPr>
          </c:dPt>
          <c:dPt>
            <c:idx val="1"/>
            <c:spPr>
              <a:solidFill>
                <a:srgbClr val="AA4643"/>
              </a:solidFill>
              <a:ln w="25382">
                <a:noFill/>
              </a:ln>
            </c:spPr>
          </c:dPt>
          <c:dPt>
            <c:idx val="2"/>
            <c:spPr>
              <a:solidFill>
                <a:srgbClr val="89A54E"/>
              </a:solidFill>
              <a:ln w="25382">
                <a:noFill/>
              </a:ln>
            </c:spPr>
          </c:dPt>
          <c:dPt>
            <c:idx val="3"/>
            <c:spPr>
              <a:solidFill>
                <a:srgbClr val="71588F"/>
              </a:solidFill>
              <a:ln w="25382">
                <a:noFill/>
              </a:ln>
            </c:spPr>
          </c:dPt>
          <c:dPt>
            <c:idx val="4"/>
            <c:spPr>
              <a:solidFill>
                <a:srgbClr val="4198AF"/>
              </a:solidFill>
              <a:ln w="25382">
                <a:noFill/>
              </a:ln>
            </c:spPr>
          </c:dPt>
          <c:dPt>
            <c:idx val="5"/>
            <c:spPr>
              <a:solidFill>
                <a:srgbClr val="DB843D"/>
              </a:solidFill>
              <a:ln w="25382">
                <a:noFill/>
              </a:ln>
            </c:spPr>
          </c:dPt>
          <c:dLbls>
            <c:spPr>
              <a:noFill/>
              <a:ln w="25382">
                <a:noFill/>
              </a:ln>
            </c:spPr>
            <c:txPr>
              <a:bodyPr/>
              <a:lstStyle/>
              <a:p>
                <a:pPr>
                  <a:defRPr lang="en-US"/>
                </a:pPr>
                <a:endParaRPr lang="en-US"/>
              </a:p>
            </c:txPr>
            <c:showVal val="1"/>
            <c:showLeaderLines val="1"/>
            <c:extLst>
              <c:ext xmlns:c15="http://schemas.microsoft.com/office/drawing/2012/chart" uri="{CE6537A1-D6FC-4f65-9D91-7224C49458BB}"/>
            </c:extLst>
          </c:dLbls>
          <c:cat>
            <c:strRef>
              <c:f>Sheet1!$A$2:$A$7</c:f>
              <c:strCache>
                <c:ptCount val="6"/>
                <c:pt idx="0">
                  <c:v>0-1 ditë</c:v>
                </c:pt>
                <c:pt idx="1">
                  <c:v>1-3 ditë</c:v>
                </c:pt>
                <c:pt idx="2">
                  <c:v>3-5 ditë</c:v>
                </c:pt>
                <c:pt idx="3">
                  <c:v>5-10 ditë</c:v>
                </c:pt>
                <c:pt idx="4">
                  <c:v>10-20 ditë</c:v>
                </c:pt>
                <c:pt idx="5">
                  <c:v>Mbi 20 ditë</c:v>
                </c:pt>
              </c:strCache>
            </c:strRef>
          </c:cat>
          <c:val>
            <c:numRef>
              <c:f>Sheet1!$B$2:$B$7</c:f>
              <c:numCache>
                <c:formatCode>General</c:formatCode>
                <c:ptCount val="6"/>
                <c:pt idx="0">
                  <c:v>92</c:v>
                </c:pt>
                <c:pt idx="1">
                  <c:v>103</c:v>
                </c:pt>
                <c:pt idx="2">
                  <c:v>72</c:v>
                </c:pt>
                <c:pt idx="3">
                  <c:v>70</c:v>
                </c:pt>
                <c:pt idx="4">
                  <c:v>7</c:v>
                </c:pt>
                <c:pt idx="5">
                  <c:v>0</c:v>
                </c:pt>
              </c:numCache>
            </c:numRef>
          </c:val>
        </c:ser>
      </c:pie3DChart>
      <c:spPr>
        <a:solidFill>
          <a:srgbClr val="CCC1DA"/>
        </a:solidFill>
        <a:ln w="25382">
          <a:noFill/>
        </a:ln>
      </c:spPr>
    </c:plotArea>
    <c:legend>
      <c:legendPos val="r"/>
      <c:layout>
        <c:manualLayout>
          <c:xMode val="edge"/>
          <c:yMode val="edge"/>
          <c:x val="0.84358523725834844"/>
          <c:y val="0.33536585365853683"/>
          <c:w val="0.14586994727592281"/>
          <c:h val="0.44512195121951231"/>
        </c:manualLayout>
      </c:layout>
      <c:spPr>
        <a:noFill/>
        <a:ln w="25382">
          <a:noFill/>
        </a:ln>
      </c:spPr>
      <c:txPr>
        <a:bodyPr/>
        <a:lstStyle/>
        <a:p>
          <a:pPr>
            <a:defRPr lang="en-US"/>
          </a:pPr>
          <a:endParaRPr lang="en-US"/>
        </a:p>
      </c:txPr>
    </c:legend>
    <c:plotVisOnly val="1"/>
    <c:dispBlanksAs val="zero"/>
  </c:chart>
  <c:spPr>
    <a:solidFill>
      <a:srgbClr val="FFFFFF"/>
    </a:solidFill>
    <a:ln w="3173">
      <a:solidFill>
        <a:srgbClr val="808080"/>
      </a:solidFill>
      <a:prstDash val="solid"/>
    </a:ln>
  </c:spPr>
  <c:externalData r:id="rId2"/>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A7089EA398D4ED39274B7626C78F483"/>
        <w:category>
          <w:name w:val="General"/>
          <w:gallery w:val="placeholder"/>
        </w:category>
        <w:types>
          <w:type w:val="bbPlcHdr"/>
        </w:types>
        <w:behaviors>
          <w:behavior w:val="content"/>
        </w:behaviors>
        <w:guid w:val="{59D9C8A4-0843-4F33-903F-09442CB35E35}"/>
      </w:docPartPr>
      <w:docPartBody>
        <w:p w:rsidR="005B1AA7" w:rsidRDefault="00627B88" w:rsidP="00627B88">
          <w:pPr>
            <w:pStyle w:val="2A7089EA398D4ED39274B7626C78F483"/>
          </w:pPr>
          <w:r>
            <w:rPr>
              <w:rFonts w:asciiTheme="majorHAnsi" w:eastAsiaTheme="majorEastAsia" w:hAnsiTheme="majorHAnsi" w:cstheme="majorBidi"/>
              <w:sz w:val="36"/>
              <w:szCs w:val="36"/>
            </w:rPr>
            <w:t>[Type the document title]</w:t>
          </w:r>
        </w:p>
      </w:docPartBody>
    </w:docPart>
    <w:docPart>
      <w:docPartPr>
        <w:name w:val="D170A69763184755B334B631A9FB3854"/>
        <w:category>
          <w:name w:val="General"/>
          <w:gallery w:val="placeholder"/>
        </w:category>
        <w:types>
          <w:type w:val="bbPlcHdr"/>
        </w:types>
        <w:behaviors>
          <w:behavior w:val="content"/>
        </w:behaviors>
        <w:guid w:val="{F7670C93-AAB6-47F4-A1F4-99D7A84399BD}"/>
      </w:docPartPr>
      <w:docPartBody>
        <w:p w:rsidR="005B1AA7" w:rsidRDefault="00627B88" w:rsidP="00627B88">
          <w:pPr>
            <w:pStyle w:val="D170A69763184755B334B631A9FB3854"/>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27B88"/>
    <w:rsid w:val="00091E1A"/>
    <w:rsid w:val="002C4F75"/>
    <w:rsid w:val="003620B7"/>
    <w:rsid w:val="003B5D18"/>
    <w:rsid w:val="004320BD"/>
    <w:rsid w:val="005B1AA7"/>
    <w:rsid w:val="00627B88"/>
    <w:rsid w:val="00DD0CD8"/>
    <w:rsid w:val="00F078D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A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7089EA398D4ED39274B7626C78F483">
    <w:name w:val="2A7089EA398D4ED39274B7626C78F483"/>
    <w:rsid w:val="00627B88"/>
  </w:style>
  <w:style w:type="paragraph" w:customStyle="1" w:styleId="D170A69763184755B334B631A9FB3854">
    <w:name w:val="D170A69763184755B334B631A9FB3854"/>
    <w:rsid w:val="00627B88"/>
  </w:style>
  <w:style w:type="paragraph" w:customStyle="1" w:styleId="935541D5A56347678937ECB60D9A4DBC">
    <w:name w:val="935541D5A56347678937ECB60D9A4DBC"/>
    <w:rsid w:val="005B1AA7"/>
  </w:style>
  <w:style w:type="paragraph" w:customStyle="1" w:styleId="F7A3DABBAECD43F2A52F7B999D97FB83">
    <w:name w:val="F7A3DABBAECD43F2A52F7B999D97FB83"/>
    <w:rsid w:val="005B1AA7"/>
  </w:style>
  <w:style w:type="paragraph" w:customStyle="1" w:styleId="FF7D76E1B4CA4221A172F4924F610DF5">
    <w:name w:val="FF7D76E1B4CA4221A172F4924F610DF5"/>
    <w:rsid w:val="005B1AA7"/>
  </w:style>
  <w:style w:type="paragraph" w:customStyle="1" w:styleId="72FF67D59C8E43948C02C9148CE312D6">
    <w:name w:val="72FF67D59C8E43948C02C9148CE312D6"/>
    <w:rsid w:val="005B1AA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90</Pages>
  <Words>27354</Words>
  <Characters>155919</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Raporti Akademik</vt:lpstr>
    </vt:vector>
  </TitlesOfParts>
  <Company/>
  <LinksUpToDate>false</LinksUpToDate>
  <CharactersWithSpaces>182908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Akademik</dc:title>
  <dc:subject/>
  <dc:creator>hloom.com</dc:creator>
  <cp:keywords/>
  <dc:description/>
  <cp:lastModifiedBy>User</cp:lastModifiedBy>
  <cp:revision>8</cp:revision>
  <cp:lastPrinted>2013-05-15T15:45:00Z</cp:lastPrinted>
  <dcterms:created xsi:type="dcterms:W3CDTF">2013-05-15T15:45:00Z</dcterms:created>
  <dcterms:modified xsi:type="dcterms:W3CDTF">2016-12-24T18:57:00Z</dcterms:modified>
</cp:coreProperties>
</file>