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CC2FC" w14:textId="5B70BC85" w:rsidR="00864B4C" w:rsidRPr="00825F1D" w:rsidRDefault="00864B4C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825F1D">
        <w:rPr>
          <w:rFonts w:ascii="Times New Roman" w:hAnsi="Times New Roman" w:cs="Times New Roman"/>
          <w:b/>
          <w:bCs/>
        </w:rPr>
        <w:t>SHKOLLA E MAGJISTRATURËS</w:t>
      </w:r>
    </w:p>
    <w:p w14:paraId="276B2943" w14:textId="2EC31507" w:rsidR="00864B4C" w:rsidRPr="00825F1D" w:rsidRDefault="0030341F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825F1D">
        <w:rPr>
          <w:rFonts w:ascii="Times New Roman" w:hAnsi="Times New Roman" w:cs="Times New Roman"/>
          <w:b/>
          <w:bCs/>
        </w:rPr>
        <w:t>GJYQ IMITUES  PENAL NR. 2</w:t>
      </w:r>
    </w:p>
    <w:p w14:paraId="65B0CF5C" w14:textId="77777777" w:rsidR="0030341F" w:rsidRPr="00825F1D" w:rsidRDefault="0030341F" w:rsidP="000D7F6A">
      <w:pPr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825F1D">
        <w:rPr>
          <w:rFonts w:ascii="Times New Roman" w:hAnsi="Times New Roman" w:cs="Times New Roman"/>
          <w:b/>
          <w:bCs/>
        </w:rPr>
        <w:t xml:space="preserve">Grupi 1, Viti </w:t>
      </w:r>
      <w:proofErr w:type="spellStart"/>
      <w:r w:rsidRPr="00825F1D">
        <w:rPr>
          <w:rFonts w:ascii="Times New Roman" w:hAnsi="Times New Roman" w:cs="Times New Roman"/>
          <w:b/>
          <w:bCs/>
        </w:rPr>
        <w:t>II</w:t>
      </w:r>
      <w:proofErr w:type="spellEnd"/>
      <w:r w:rsidRPr="00825F1D">
        <w:rPr>
          <w:rFonts w:ascii="Times New Roman" w:hAnsi="Times New Roman" w:cs="Times New Roman"/>
          <w:b/>
          <w:bCs/>
        </w:rPr>
        <w:t>/2025</w:t>
      </w:r>
    </w:p>
    <w:p w14:paraId="58C0F5F5" w14:textId="4633954E" w:rsidR="0023575F" w:rsidRPr="00825F1D" w:rsidRDefault="0023575F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Rasti penal nr. 2 paraqet një </w:t>
      </w:r>
      <w:r w:rsidR="00825F1D" w:rsidRPr="00825F1D">
        <w:rPr>
          <w:rFonts w:ascii="Times New Roman" w:eastAsia="Times New Roman" w:hAnsi="Times New Roman" w:cs="Times New Roman"/>
          <w:kern w:val="0"/>
          <w14:ligatures w14:val="none"/>
        </w:rPr>
        <w:t>çështje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ligjore komplekse ku një konflikt i nisur me një sulm të papritur përshkallëzohet në një seri ngjarjesh që ngrenë pyetje themelore mbi konceptet e vetëmbrojtjes, proporcionit të reagimit dhe bashkëpunimit në të drejtën penale. Kandidatët e grupit 1 </w:t>
      </w:r>
      <w:r w:rsidR="00765D78" w:rsidRPr="00825F1D">
        <w:rPr>
          <w:rFonts w:ascii="Times New Roman" w:eastAsia="Times New Roman" w:hAnsi="Times New Roman" w:cs="Times New Roman"/>
          <w:kern w:val="0"/>
          <w14:ligatures w14:val="none"/>
        </w:rPr>
        <w:t>kan</w:t>
      </w:r>
      <w:r w:rsidR="005745DD" w:rsidRPr="00825F1D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65D78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analizuar me kujdes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institute</w:t>
      </w:r>
      <w:r w:rsidR="007334BF" w:rsidRPr="00825F1D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juridike dhe zbatim</w:t>
      </w:r>
      <w:r w:rsidR="007334BF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in e 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>saktë të normave penale.</w:t>
      </w:r>
    </w:p>
    <w:p w14:paraId="3B7653F2" w14:textId="0E882009" w:rsidR="00F34AE9" w:rsidRPr="00825F1D" w:rsidRDefault="00F34AE9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Ngjarja ndodhi në orët e para të mëngjesit, ku </w:t>
      </w:r>
      <w:proofErr w:type="spellStart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A.K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>asa</w:t>
      </w:r>
      <w:proofErr w:type="spellEnd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, në gjendje të dehur, sulmoi papritur M.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>ado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>, duke e goditur me tullë në kokë. Ky sulm fillestar shkaktoi një reagim zinxhir, ku fillimisht M.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>ado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dhe m</w:t>
      </w:r>
      <w:r w:rsidR="007858FE" w:rsidRPr="00825F1D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pas kolegu i tij i cili ndodhej n</w:t>
      </w:r>
      <w:r w:rsidR="007858FE" w:rsidRPr="00825F1D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nj</w:t>
      </w:r>
      <w:r w:rsidR="007858FE" w:rsidRPr="00825F1D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mjet aty pran</w:t>
      </w:r>
      <w:r w:rsidR="007858FE" w:rsidRPr="00825F1D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R.Gj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>oni</w:t>
      </w:r>
      <w:proofErr w:type="spellEnd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kundërvepruan duke goditur A.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="007858FE" w:rsidRPr="00825F1D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dhe duke e shtrirë në tokë. Situata u komplikua më tej kur në vendngjarje mbërriti B.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="007B5E3B" w:rsidRPr="00825F1D">
        <w:rPr>
          <w:rFonts w:ascii="Times New Roman" w:eastAsia="Times New Roman" w:hAnsi="Times New Roman" w:cs="Times New Roman"/>
          <w:kern w:val="0"/>
          <w14:ligatures w14:val="none"/>
        </w:rPr>
        <w:t>asani</w:t>
      </w:r>
      <w:proofErr w:type="spellEnd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, i cili pavarësisht përpjekjes fillestare për të qetësuar konfliktin, përfundimisht e goditi edhe ai viktimën e shtrirë me shkelm.</w:t>
      </w:r>
    </w:p>
    <w:p w14:paraId="4C358306" w14:textId="5FC5EACB" w:rsidR="00F34AE9" w:rsidRPr="00825F1D" w:rsidRDefault="007B5E3B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Kandidat</w:t>
      </w:r>
      <w:r w:rsidR="007858FE" w:rsidRPr="00825F1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ë</w:t>
      </w:r>
      <w:r w:rsidRPr="00825F1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 kan</w:t>
      </w:r>
      <w:r w:rsidR="007858FE" w:rsidRPr="00825F1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ë</w:t>
      </w:r>
      <w:r w:rsidR="00F34AE9" w:rsidRPr="00825F1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analizuar me kujdes dy aspekte thelbësore juridike të çështjes, konceptin e mbrojtjes së nevojshme dhe institutin e bashkëpunimit. </w:t>
      </w:r>
    </w:p>
    <w:p w14:paraId="0DAC9120" w14:textId="1752706B" w:rsidR="003E79C3" w:rsidRPr="00825F1D" w:rsidRDefault="003E79C3" w:rsidP="000D7F6A">
      <w:pPr>
        <w:pStyle w:val="NormalWeb"/>
        <w:spacing w:after="240" w:afterAutospacing="0"/>
        <w:jc w:val="both"/>
      </w:pPr>
      <w:r w:rsidRPr="00825F1D">
        <w:t xml:space="preserve">Prokuroria akuzoi tre të pandehurit e parë (M. Dado, R. Gjoni dhe B. </w:t>
      </w:r>
      <w:proofErr w:type="spellStart"/>
      <w:r w:rsidRPr="00825F1D">
        <w:t>Hasani</w:t>
      </w:r>
      <w:proofErr w:type="spellEnd"/>
      <w:r w:rsidRPr="00825F1D">
        <w:t>) për veprën penale "Plagosje e rëndë me dashje" të kryer në bashkëpunim, sipas nenit 88/1 dhe 25 të Kodit Penal, ndërsa të pandehurin e katërt (A. Kasa) për veprën penale "</w:t>
      </w:r>
      <w:r w:rsidRPr="00825F1D">
        <w:rPr>
          <w:i/>
          <w:iCs/>
        </w:rPr>
        <w:t>Plagosje e lehtë me dashje</w:t>
      </w:r>
      <w:r w:rsidRPr="00825F1D">
        <w:t>" sipas nenit 89 të Kodit Penal</w:t>
      </w:r>
      <w:r w:rsidR="007B5E3B" w:rsidRPr="00825F1D">
        <w:t xml:space="preserve"> ( </w:t>
      </w:r>
      <w:r w:rsidR="007B5E3B" w:rsidRPr="00825F1D">
        <w:rPr>
          <w:i/>
          <w:iCs/>
        </w:rPr>
        <w:t>pas deklarimit t</w:t>
      </w:r>
      <w:r w:rsidR="007858FE" w:rsidRPr="00825F1D">
        <w:rPr>
          <w:i/>
          <w:iCs/>
        </w:rPr>
        <w:t>ë</w:t>
      </w:r>
      <w:r w:rsidR="007B5E3B" w:rsidRPr="00825F1D">
        <w:rPr>
          <w:i/>
          <w:iCs/>
        </w:rPr>
        <w:t xml:space="preserve"> M. DADO se k</w:t>
      </w:r>
      <w:r w:rsidR="007858FE" w:rsidRPr="00825F1D">
        <w:rPr>
          <w:i/>
          <w:iCs/>
        </w:rPr>
        <w:t>ë</w:t>
      </w:r>
      <w:r w:rsidR="007B5E3B" w:rsidRPr="00825F1D">
        <w:rPr>
          <w:i/>
          <w:iCs/>
        </w:rPr>
        <w:t>rkonte ndjekjen penale t</w:t>
      </w:r>
      <w:r w:rsidR="007858FE" w:rsidRPr="00825F1D">
        <w:rPr>
          <w:i/>
          <w:iCs/>
        </w:rPr>
        <w:t>ë</w:t>
      </w:r>
      <w:r w:rsidR="007B5E3B" w:rsidRPr="00825F1D">
        <w:rPr>
          <w:i/>
          <w:iCs/>
        </w:rPr>
        <w:t xml:space="preserve"> autorit</w:t>
      </w:r>
      <w:r w:rsidR="007B5E3B" w:rsidRPr="00825F1D">
        <w:t xml:space="preserve">) </w:t>
      </w:r>
      <w:r w:rsidRPr="00825F1D">
        <w:t>. Akuza u bazua në vlerësimin se tre të pandehurit e parë vepruan me dashje dhe në koordinim të ndërsjellë për të shkaktuar dëmtime të rënda që rrezikuan jetën e A</w:t>
      </w:r>
      <w:r w:rsidR="007B5E3B" w:rsidRPr="00825F1D">
        <w:t>.</w:t>
      </w:r>
      <w:r w:rsidRPr="00825F1D">
        <w:t xml:space="preserve"> Kasës, siç u konfirmua nga akti i ekspertimit mjeko-ligjor. Prokuroria konsideroi si rrethanë rënduese faktin që vepra u krye në bashkëpunim dhe kërkoi dënime relativisht të rënda</w:t>
      </w:r>
      <w:r w:rsidR="007B5E3B" w:rsidRPr="00825F1D">
        <w:t>.</w:t>
      </w:r>
    </w:p>
    <w:p w14:paraId="77FD78CD" w14:textId="77777777" w:rsidR="007B5E3B" w:rsidRPr="00825F1D" w:rsidRDefault="007B5E3B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Mbrojtja e secilit të pandehur zhvilloi strategji të ndryshme, të përshtatura me rrethanat specifike të përfshirjes së tyre në ngjarje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104A3B" w14:textId="2B4DCCB0" w:rsidR="007B5E3B" w:rsidRPr="00825F1D" w:rsidRDefault="007B5E3B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kern w:val="0"/>
          <w14:ligatures w14:val="none"/>
        </w:rPr>
        <w:t>Avokatët e M. Dados argumentuan se veprimet e tij duhet të cilësoheshin si "plagosje e rëndë në kapërcim të kufijve të mbrojtjes së nevojshme" dhe jo si plagosje me dashje</w:t>
      </w:r>
      <w:r w:rsidR="000D7F6A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D7F6A" w:rsidRPr="00825F1D">
        <w:rPr>
          <w:rFonts w:ascii="Times New Roman" w:eastAsia="Times New Roman" w:hAnsi="Times New Roman" w:cs="Times New Roman"/>
          <w:kern w:val="0"/>
          <w14:ligatures w14:val="none"/>
        </w:rPr>
        <w:t>nw</w:t>
      </w:r>
      <w:proofErr w:type="spellEnd"/>
      <w:r w:rsidR="000D7F6A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D7F6A" w:rsidRPr="00825F1D">
        <w:rPr>
          <w:rFonts w:ascii="Times New Roman" w:eastAsia="Times New Roman" w:hAnsi="Times New Roman" w:cs="Times New Roman"/>
          <w:kern w:val="0"/>
          <w14:ligatures w14:val="none"/>
        </w:rPr>
        <w:t>formwn</w:t>
      </w:r>
      <w:proofErr w:type="spellEnd"/>
      <w:r w:rsidR="000D7F6A"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0D7F6A" w:rsidRPr="00825F1D">
        <w:rPr>
          <w:rFonts w:ascii="Times New Roman" w:eastAsia="Times New Roman" w:hAnsi="Times New Roman" w:cs="Times New Roman"/>
          <w:kern w:val="0"/>
          <w14:ligatures w14:val="none"/>
        </w:rPr>
        <w:t>bashkwpunimit</w:t>
      </w:r>
      <w:proofErr w:type="spellEnd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. Ata theksuan se Dado reagoi ndaj një sulmi të papritur dhe të padrejtë nga A. Kas</w:t>
      </w:r>
      <w:r w:rsidR="00802293" w:rsidRPr="00825F1D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, i cili e goditi me tullë në kokë. Mbrojtja kundërshtoi elementin e bashkëpunimit, duke argumentuar se nuk ekzistonte asnjë marrëveshje midis të pandehurve dhe se secili veproi individualisht. </w:t>
      </w:r>
    </w:p>
    <w:p w14:paraId="55FC99B7" w14:textId="05248430" w:rsidR="007B5E3B" w:rsidRPr="00825F1D" w:rsidRDefault="007B5E3B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Mbrojtja e R. Gjonit u mbështet kryesisht në institutin e mbrojtjes së nevojshme, duke argumentuar se ai reagoi instinktivisht për të mbrojtur kolegun e tij nga një sulm i papritur. Mbrojtja theksoi se  në orën 5 të mëngjesit, në kushte të kufizuara shikimi, R. Gjoni u përball me një situatë emergjente që kërkonte reagim të menjëhershëm. Si alternativë, mbrojtja kërkoi </w:t>
      </w:r>
      <w:proofErr w:type="spellStart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ricilësimin</w:t>
      </w:r>
      <w:proofErr w:type="spellEnd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e veprës në "plagosje e rëndë me kapërcim të kufijve të mbrojtjes së nevojshme". </w:t>
      </w:r>
    </w:p>
    <w:p w14:paraId="56A1EAFA" w14:textId="3060D036" w:rsidR="007B5E3B" w:rsidRPr="00825F1D" w:rsidRDefault="007B5E3B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Mbrojtja e B. </w:t>
      </w:r>
      <w:proofErr w:type="spellStart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Hasanit</w:t>
      </w:r>
      <w:proofErr w:type="spellEnd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theksoi se ai nuk ishte pjesë e konfliktit fillestar, por mbërriti rastësisht në vendngjarje dhe fillimisht u përpoq të qetësonte situatën duke larguar M. Dadon nga viktima. Veprimet e tij të mëvonshme (</w:t>
      </w:r>
      <w:r w:rsidRPr="00825F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goditjet me shkelm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) ndodhën vetëm pas ofendimeve personale nga viktima dhe ishin krejtësisht të pavarura nga veprimet e dy të pandehurve të tjerë. Mbrojtja argumentoi se nuk ishte provuar lidhja shkakësore midis shkelmave të z. </w:t>
      </w:r>
      <w:proofErr w:type="spellStart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Hasani</w:t>
      </w:r>
      <w:proofErr w:type="spellEnd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dhe dëmtimeve të rënda të viktimës. Kërkuan </w:t>
      </w:r>
      <w:proofErr w:type="spellStart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>ricilësimin</w:t>
      </w:r>
      <w:proofErr w:type="spellEnd"/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juridik sipas nenit 90 t</w:t>
      </w:r>
      <w:r w:rsidR="007858FE" w:rsidRPr="00825F1D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 K. Penal në "</w:t>
      </w:r>
      <w:r w:rsidR="00C74636" w:rsidRPr="00825F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 w:rsidRPr="00825F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ëmtime të tjera me dashje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>", vepër që ndiqet vetëm me ankimin e viktimës, duke kërkuar pushimin e çështjes në mungesë të këtij ankimi.</w:t>
      </w:r>
    </w:p>
    <w:p w14:paraId="1CC06F6F" w14:textId="4E7EF435" w:rsidR="007B5E3B" w:rsidRPr="00825F1D" w:rsidRDefault="007B5E3B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Mbrojtja e A. Kasës pranoi veprën e kryer, por argumentoi për një dënim sa më të butë duke u mbështetur në rrethanat lehtësuese: </w:t>
      </w:r>
      <w:r w:rsidR="001D1D7D" w:rsidRPr="00825F1D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825F1D">
        <w:rPr>
          <w:rFonts w:ascii="Times New Roman" w:eastAsia="Times New Roman" w:hAnsi="Times New Roman" w:cs="Times New Roman"/>
          <w:kern w:val="0"/>
          <w14:ligatures w14:val="none"/>
        </w:rPr>
        <w:t xml:space="preserve">jendja e dehjes në momentin e ngjarjes, tronditja psikike nga fyerjet e pretenduara, pendimi i thellë dhe normalizimi i marrëdhënieve me të dëmtuarin. </w:t>
      </w:r>
    </w:p>
    <w:p w14:paraId="5B9880CB" w14:textId="6A37B771" w:rsidR="007858FE" w:rsidRPr="00825F1D" w:rsidRDefault="007858FE" w:rsidP="000D7F6A">
      <w:pPr>
        <w:pStyle w:val="NormalWeb"/>
        <w:spacing w:after="240" w:afterAutospacing="0"/>
        <w:jc w:val="both"/>
      </w:pPr>
      <w:r w:rsidRPr="00825F1D">
        <w:t xml:space="preserve">Gjykata analizoi çështjen duke fokusuar vëmendjen në dy aspekte thelbësore, në mbrojtjen e nevojshme dhe bashkëpunimin, për të arritur në një vendim të balancuar që reflektonte rrethanat specifike të ngjarjes. Ajo pranoi se sulmi fillestar i A. Kasës justifikonte një reagim mbrojtës nga ana e M. Dados dhe R. Gjonit, por vlerësoi se këta të fundit tejkaluan dukshëm kufijtë e mbrojtjes së nevojshme duke vazhduar dhunën edhe pasi kërcënimi ishte neutralizuar. Gjithashtu, gjykata rrëzoi pretendimin e prokurorisë për bashkëpunim midis të pandehurve, duke </w:t>
      </w:r>
      <w:proofErr w:type="spellStart"/>
      <w:r w:rsidRPr="00825F1D">
        <w:t>konkluduar</w:t>
      </w:r>
      <w:proofErr w:type="spellEnd"/>
      <w:r w:rsidRPr="00825F1D">
        <w:t xml:space="preserve"> se ata vepruan individualisht, pa marrëveshje paraprake apo të çastit, me motive të ndryshme dhe me kontribute të pavarura. </w:t>
      </w:r>
    </w:p>
    <w:p w14:paraId="7CC95D55" w14:textId="776B6D97" w:rsidR="007858FE" w:rsidRPr="00825F1D" w:rsidRDefault="007858FE" w:rsidP="000D7F6A">
      <w:pPr>
        <w:pStyle w:val="NormalWeb"/>
        <w:spacing w:after="240" w:afterAutospacing="0"/>
        <w:jc w:val="both"/>
      </w:pPr>
      <w:r w:rsidRPr="00825F1D">
        <w:t xml:space="preserve">Bazuar në këtë analizë, gjykata bëri </w:t>
      </w:r>
      <w:proofErr w:type="spellStart"/>
      <w:r w:rsidRPr="00825F1D">
        <w:t>ricilësimin</w:t>
      </w:r>
      <w:proofErr w:type="spellEnd"/>
      <w:r w:rsidRPr="00825F1D">
        <w:t xml:space="preserve"> juridik të veprave për M. Dado dhe R. Gjoni sipas nenit 88/b “</w:t>
      </w:r>
      <w:r w:rsidRPr="00825F1D">
        <w:rPr>
          <w:i/>
          <w:iCs/>
        </w:rPr>
        <w:t>Plagosje e rëndë me kapërcim të mbrojtjes së nevojshme</w:t>
      </w:r>
      <w:r w:rsidRPr="00825F1D">
        <w:t xml:space="preserve">” dhe për të pandehurin B. </w:t>
      </w:r>
      <w:proofErr w:type="spellStart"/>
      <w:r w:rsidRPr="00825F1D">
        <w:t>Hasani</w:t>
      </w:r>
      <w:proofErr w:type="spellEnd"/>
      <w:r w:rsidRPr="00825F1D">
        <w:t xml:space="preserve"> sipas nenit 90 të </w:t>
      </w:r>
      <w:proofErr w:type="spellStart"/>
      <w:r w:rsidRPr="00825F1D">
        <w:t>K.Penal</w:t>
      </w:r>
      <w:proofErr w:type="spellEnd"/>
      <w:r w:rsidRPr="00825F1D">
        <w:t xml:space="preserve"> në “</w:t>
      </w:r>
      <w:r w:rsidRPr="00825F1D">
        <w:rPr>
          <w:i/>
          <w:iCs/>
        </w:rPr>
        <w:t>Dëmtime të tjera me dashje</w:t>
      </w:r>
      <w:r w:rsidRPr="00825F1D">
        <w:t>”. Gjithashtu në vendimin përfundimtar u vlerësuan rrethanat lehtësuese të çdo të pandehuri, përfshirë pendimin e treguar, normalizimin e marrëdhënieve, rrethanat familjare dhe ekonomike, si dhe mungesën e precedentëve të ngjashëm penalë duke dhënë kështu dënime proporcionale që synojnë rehabilitimin më shumë se ndëshkimin.</w:t>
      </w:r>
    </w:p>
    <w:p w14:paraId="7A36CECD" w14:textId="77777777" w:rsidR="007858FE" w:rsidRPr="00825F1D" w:rsidRDefault="007858FE" w:rsidP="000D7F6A">
      <w:pPr>
        <w:pStyle w:val="NormalWeb"/>
        <w:spacing w:after="240" w:afterAutospacing="0"/>
        <w:jc w:val="both"/>
      </w:pPr>
    </w:p>
    <w:p w14:paraId="52F08100" w14:textId="43F3A3E8" w:rsidR="007858FE" w:rsidRDefault="007858FE" w:rsidP="00825F1D">
      <w:pPr>
        <w:pStyle w:val="NormalWeb"/>
        <w:spacing w:after="240" w:afterAutospacing="0"/>
      </w:pPr>
      <w:r w:rsidRPr="00825F1D">
        <w:t xml:space="preserve">Grupi 1/ Viti </w:t>
      </w:r>
      <w:proofErr w:type="spellStart"/>
      <w:r w:rsidRPr="00825F1D">
        <w:t>II</w:t>
      </w:r>
      <w:proofErr w:type="spellEnd"/>
      <w:r w:rsidRPr="00825F1D">
        <w:t>/ 2024-2025</w:t>
      </w:r>
      <w:r w:rsidR="00825F1D">
        <w:t xml:space="preserve"> </w:t>
      </w:r>
    </w:p>
    <w:p w14:paraId="74E3DB90" w14:textId="77777777" w:rsidR="00825F1D" w:rsidRDefault="00825F1D" w:rsidP="00825F1D">
      <w:pPr>
        <w:pStyle w:val="NormalWeb"/>
        <w:spacing w:after="240" w:afterAutospacing="0"/>
      </w:pPr>
    </w:p>
    <w:p w14:paraId="7513B9EE" w14:textId="77777777" w:rsidR="00825F1D" w:rsidRDefault="00825F1D" w:rsidP="00825F1D">
      <w:pPr>
        <w:pStyle w:val="NormalWeb"/>
        <w:spacing w:after="240" w:afterAutospacing="0"/>
        <w:jc w:val="center"/>
        <w:rPr>
          <w:b/>
          <w:sz w:val="28"/>
        </w:rPr>
      </w:pPr>
    </w:p>
    <w:p w14:paraId="10D0C405" w14:textId="77777777" w:rsidR="00825F1D" w:rsidRDefault="00825F1D" w:rsidP="00825F1D">
      <w:pPr>
        <w:pStyle w:val="NormalWeb"/>
        <w:spacing w:after="240" w:afterAutospacing="0"/>
        <w:jc w:val="center"/>
        <w:rPr>
          <w:b/>
          <w:sz w:val="28"/>
        </w:rPr>
      </w:pPr>
    </w:p>
    <w:p w14:paraId="33FC9E4D" w14:textId="77777777" w:rsidR="00825F1D" w:rsidRDefault="00825F1D" w:rsidP="00825F1D">
      <w:pPr>
        <w:pStyle w:val="NormalWeb"/>
        <w:spacing w:after="240" w:afterAutospacing="0"/>
        <w:jc w:val="center"/>
        <w:rPr>
          <w:b/>
          <w:sz w:val="28"/>
        </w:rPr>
      </w:pPr>
    </w:p>
    <w:p w14:paraId="7D51C96F" w14:textId="77777777" w:rsidR="00825F1D" w:rsidRDefault="00825F1D" w:rsidP="00825F1D">
      <w:pPr>
        <w:pStyle w:val="NormalWeb"/>
        <w:spacing w:after="240" w:afterAutospacing="0"/>
        <w:jc w:val="center"/>
        <w:rPr>
          <w:b/>
          <w:sz w:val="28"/>
        </w:rPr>
      </w:pPr>
    </w:p>
    <w:p w14:paraId="45A9A2E2" w14:textId="77777777" w:rsidR="00825F1D" w:rsidRDefault="00825F1D" w:rsidP="00825F1D">
      <w:pPr>
        <w:pStyle w:val="NormalWeb"/>
        <w:spacing w:after="240" w:afterAutospacing="0"/>
        <w:jc w:val="center"/>
        <w:rPr>
          <w:b/>
          <w:sz w:val="28"/>
        </w:rPr>
      </w:pPr>
    </w:p>
    <w:p w14:paraId="10C772A8" w14:textId="15CB3B16" w:rsidR="00825F1D" w:rsidRPr="00825F1D" w:rsidRDefault="00825F1D" w:rsidP="00825F1D">
      <w:pPr>
        <w:pStyle w:val="NormalWeb"/>
        <w:spacing w:after="240" w:afterAutospacing="0"/>
        <w:jc w:val="center"/>
        <w:rPr>
          <w:b/>
          <w:sz w:val="28"/>
        </w:rPr>
      </w:pPr>
      <w:r w:rsidRPr="00825F1D">
        <w:rPr>
          <w:noProof/>
          <w:lang w:eastAsia="sq-AL"/>
        </w:rPr>
        <w:lastRenderedPageBreak/>
        <w:drawing>
          <wp:anchor distT="0" distB="0" distL="114300" distR="114300" simplePos="0" relativeHeight="251659264" behindDoc="0" locked="0" layoutInCell="1" allowOverlap="1" wp14:anchorId="3E620186" wp14:editId="0E209D37">
            <wp:simplePos x="0" y="0"/>
            <wp:positionH relativeFrom="column">
              <wp:posOffset>0</wp:posOffset>
            </wp:positionH>
            <wp:positionV relativeFrom="paragraph">
              <wp:posOffset>536575</wp:posOffset>
            </wp:positionV>
            <wp:extent cx="5730875" cy="3454400"/>
            <wp:effectExtent l="0" t="0" r="3175" b="0"/>
            <wp:wrapSquare wrapText="bothSides"/>
            <wp:docPr id="2" name="Picture 2" descr="F:\formimi fillestar 2024 anila\viti i dyte 2024-2025\gjyqet imituese\Gjyqi 4\Grupi 1\WhatsApp Image 2025-03-12 at 12.09.2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4\Grupi 1\WhatsApp Image 2025-03-12 at 12.09.21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9"/>
                    <a:stretch/>
                  </pic:blipFill>
                  <pic:spPr bwMode="auto">
                    <a:xfrm>
                      <a:off x="0" y="0"/>
                      <a:ext cx="5730875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F1D">
        <w:rPr>
          <w:b/>
          <w:sz w:val="28"/>
        </w:rPr>
        <w:t xml:space="preserve">Foto gjatë zhvillimit të gjyqit imitues </w:t>
      </w:r>
    </w:p>
    <w:p w14:paraId="646B0CCF" w14:textId="17968431" w:rsidR="00825F1D" w:rsidRDefault="00825F1D" w:rsidP="00825F1D">
      <w:pPr>
        <w:pStyle w:val="NormalWeb"/>
        <w:spacing w:after="240" w:afterAutospacing="0"/>
      </w:pPr>
      <w:r>
        <w:t xml:space="preserve"> </w:t>
      </w:r>
    </w:p>
    <w:p w14:paraId="17DA7FD0" w14:textId="732BB6E4" w:rsidR="00825F1D" w:rsidRPr="00825F1D" w:rsidRDefault="00825F1D" w:rsidP="00825F1D">
      <w:pPr>
        <w:pStyle w:val="NormalWeb"/>
        <w:spacing w:after="240" w:afterAutospacing="0"/>
      </w:pPr>
      <w:r w:rsidRPr="00825F1D">
        <w:rPr>
          <w:noProof/>
          <w:lang w:eastAsia="sq-AL"/>
        </w:rPr>
        <w:drawing>
          <wp:anchor distT="0" distB="0" distL="114300" distR="114300" simplePos="0" relativeHeight="251658240" behindDoc="0" locked="0" layoutInCell="1" allowOverlap="1" wp14:anchorId="1B0C60A7" wp14:editId="3F83E7D0">
            <wp:simplePos x="0" y="0"/>
            <wp:positionH relativeFrom="column">
              <wp:posOffset>71120</wp:posOffset>
            </wp:positionH>
            <wp:positionV relativeFrom="paragraph">
              <wp:posOffset>289560</wp:posOffset>
            </wp:positionV>
            <wp:extent cx="5646420" cy="3146425"/>
            <wp:effectExtent l="0" t="0" r="0" b="0"/>
            <wp:wrapSquare wrapText="bothSides"/>
            <wp:docPr id="3" name="Picture 3" descr="F:\formimi fillestar 2024 anila\viti i dyte 2024-2025\gjyqet imituese\Gjyqi 4\Grupi 1\WhatsApp Image 2025-03-12 at 12.09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4\Grupi 1\WhatsApp Image 2025-03-12 at 12.09.2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66"/>
                    <a:stretch/>
                  </pic:blipFill>
                  <pic:spPr bwMode="auto">
                    <a:xfrm>
                      <a:off x="0" y="0"/>
                      <a:ext cx="564642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F768D" w14:textId="033068A8" w:rsidR="007B5E3B" w:rsidRPr="00825F1D" w:rsidRDefault="007B5E3B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29FEEC" w14:textId="57212A6D" w:rsidR="007B5E3B" w:rsidRPr="00825F1D" w:rsidRDefault="00825F1D" w:rsidP="000D7F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25F1D">
        <w:rPr>
          <w:rFonts w:ascii="Times New Roman" w:eastAsia="Times New Roman" w:hAnsi="Times New Roman" w:cs="Times New Roman"/>
          <w:noProof/>
          <w:kern w:val="0"/>
          <w:lang w:eastAsia="sq-AL"/>
          <w14:ligatures w14:val="none"/>
        </w:rPr>
        <w:lastRenderedPageBreak/>
        <w:drawing>
          <wp:inline distT="0" distB="0" distL="0" distR="0" wp14:anchorId="68856670" wp14:editId="38948989">
            <wp:extent cx="5731510" cy="3884272"/>
            <wp:effectExtent l="0" t="0" r="2540" b="2540"/>
            <wp:docPr id="4" name="Picture 4" descr="F:\formimi fillestar 2024 anila\viti i dyte 2024-2025\gjyqet imituese\Gjyqi 4\Grupi 1\WhatsApp Image 2025-03-07 at 2.57.3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mimi fillestar 2024 anila\viti i dyte 2024-2025\gjyqet imituese\Gjyqi 4\Grupi 1\WhatsApp Image 2025-03-07 at 2.57.37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4C391" w14:textId="54D9A2D4" w:rsidR="007B5E3B" w:rsidRPr="00825F1D" w:rsidRDefault="007B5E3B" w:rsidP="000D7F6A">
      <w:pPr>
        <w:pStyle w:val="NormalWeb"/>
        <w:spacing w:after="240" w:afterAutospacing="0"/>
        <w:jc w:val="both"/>
      </w:pPr>
    </w:p>
    <w:p w14:paraId="7BD75393" w14:textId="5B4EA782" w:rsidR="00F34AE9" w:rsidRPr="00825F1D" w:rsidRDefault="00F34AE9" w:rsidP="000D7F6A">
      <w:pPr>
        <w:spacing w:after="240" w:line="240" w:lineRule="auto"/>
        <w:jc w:val="both"/>
      </w:pPr>
      <w:bookmarkStart w:id="0" w:name="_GoBack"/>
      <w:bookmarkEnd w:id="0"/>
    </w:p>
    <w:sectPr w:rsidR="00F34AE9" w:rsidRPr="00825F1D" w:rsidSect="000D7F6A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5EA20" w14:textId="77777777" w:rsidR="007746A2" w:rsidRDefault="007746A2" w:rsidP="001A3805">
      <w:pPr>
        <w:spacing w:after="0" w:line="240" w:lineRule="auto"/>
      </w:pPr>
      <w:r>
        <w:separator/>
      </w:r>
    </w:p>
  </w:endnote>
  <w:endnote w:type="continuationSeparator" w:id="0">
    <w:p w14:paraId="2ACD5E73" w14:textId="77777777" w:rsidR="007746A2" w:rsidRDefault="007746A2" w:rsidP="001A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4016E" w14:textId="77777777" w:rsidR="007746A2" w:rsidRDefault="007746A2" w:rsidP="001A3805">
      <w:pPr>
        <w:spacing w:after="0" w:line="240" w:lineRule="auto"/>
      </w:pPr>
      <w:r>
        <w:separator/>
      </w:r>
    </w:p>
  </w:footnote>
  <w:footnote w:type="continuationSeparator" w:id="0">
    <w:p w14:paraId="0431A875" w14:textId="77777777" w:rsidR="007746A2" w:rsidRDefault="007746A2" w:rsidP="001A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F8266" w14:textId="4F8CF61D" w:rsidR="001A3805" w:rsidRPr="001A3805" w:rsidRDefault="001A3805" w:rsidP="001A3805">
    <w:pPr>
      <w:pStyle w:val="Header"/>
      <w:jc w:val="center"/>
    </w:pPr>
    <w:r>
      <w:rPr>
        <w:rFonts w:ascii="Times New Roman" w:hAnsi="Times New Roman"/>
        <w:noProof/>
        <w:lang w:eastAsia="sq-AL"/>
      </w:rPr>
      <w:drawing>
        <wp:inline distT="0" distB="0" distL="0" distR="0" wp14:anchorId="6DCAA8A6" wp14:editId="12B4DAA6">
          <wp:extent cx="792000" cy="719455"/>
          <wp:effectExtent l="152400" t="152400" r="370205" b="366395"/>
          <wp:docPr id="1" name="Picture 1" descr="Rezultate imazhesh për shkolla magjistrat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e imazhesh për shkolla magjistratu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835" cy="73929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EA8"/>
    <w:multiLevelType w:val="hybridMultilevel"/>
    <w:tmpl w:val="05B8C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E9"/>
    <w:rsid w:val="000B547B"/>
    <w:rsid w:val="000D7F6A"/>
    <w:rsid w:val="001A3805"/>
    <w:rsid w:val="001D1D7D"/>
    <w:rsid w:val="0023575F"/>
    <w:rsid w:val="0030341F"/>
    <w:rsid w:val="003E79C3"/>
    <w:rsid w:val="0041684A"/>
    <w:rsid w:val="00544F13"/>
    <w:rsid w:val="005745DD"/>
    <w:rsid w:val="007334BF"/>
    <w:rsid w:val="00765D78"/>
    <w:rsid w:val="007746A2"/>
    <w:rsid w:val="007858FE"/>
    <w:rsid w:val="007B5E3B"/>
    <w:rsid w:val="00802293"/>
    <w:rsid w:val="00825F1D"/>
    <w:rsid w:val="00864B4C"/>
    <w:rsid w:val="008E35F1"/>
    <w:rsid w:val="00914F45"/>
    <w:rsid w:val="009269D5"/>
    <w:rsid w:val="00C74636"/>
    <w:rsid w:val="00CD302A"/>
    <w:rsid w:val="00D44530"/>
    <w:rsid w:val="00F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AA07"/>
  <w15:chartTrackingRefBased/>
  <w15:docId w15:val="{1D7EF960-5C72-4B8E-B1C6-7723F878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A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05"/>
  </w:style>
  <w:style w:type="paragraph" w:styleId="Footer">
    <w:name w:val="footer"/>
    <w:basedOn w:val="Normal"/>
    <w:link w:val="FooterChar"/>
    <w:uiPriority w:val="99"/>
    <w:unhideWhenUsed/>
    <w:rsid w:val="001A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8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Emiljana Kane</dc:creator>
  <cp:keywords/>
  <dc:description/>
  <cp:lastModifiedBy>Microsoft account</cp:lastModifiedBy>
  <cp:revision>3</cp:revision>
  <dcterms:created xsi:type="dcterms:W3CDTF">2025-03-12T10:30:00Z</dcterms:created>
  <dcterms:modified xsi:type="dcterms:W3CDTF">2025-03-18T12:53:00Z</dcterms:modified>
</cp:coreProperties>
</file>